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8DA47" w14:textId="4FE64AB1" w:rsidR="00845FF3" w:rsidRDefault="006815EF" w:rsidP="00845FF3">
      <w:pPr>
        <w:snapToGrid w:val="0"/>
        <w:spacing w:line="360" w:lineRule="auto"/>
        <w:jc w:val="center"/>
        <w:outlineLvl w:val="0"/>
        <w:rPr>
          <w:rFonts w:eastAsia="標楷體"/>
          <w:color w:val="000000" w:themeColor="text1"/>
          <w:sz w:val="34"/>
          <w:szCs w:val="34"/>
        </w:rPr>
      </w:pPr>
      <w:r w:rsidRPr="003E2964">
        <w:rPr>
          <w:rFonts w:eastAsia="標楷體"/>
          <w:noProof/>
          <w:sz w:val="36"/>
          <w:szCs w:val="36"/>
        </w:rPr>
        <mc:AlternateContent>
          <mc:Choice Requires="wps">
            <w:drawing>
              <wp:anchor distT="0" distB="0" distL="114300" distR="114300" simplePos="0" relativeHeight="251661312" behindDoc="0" locked="0" layoutInCell="1" allowOverlap="1" wp14:anchorId="10EACAC4" wp14:editId="1A717342">
                <wp:simplePos x="0" y="0"/>
                <wp:positionH relativeFrom="column">
                  <wp:posOffset>8625840</wp:posOffset>
                </wp:positionH>
                <wp:positionV relativeFrom="paragraph">
                  <wp:posOffset>-488315</wp:posOffset>
                </wp:positionV>
                <wp:extent cx="1386205" cy="445135"/>
                <wp:effectExtent l="0" t="0" r="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20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D18DA" w14:textId="77777777" w:rsidR="00AB0EBB" w:rsidRPr="00470B04" w:rsidRDefault="00AB0EBB" w:rsidP="006815EF">
                            <w:pPr>
                              <w:jc w:val="center"/>
                              <w:rPr>
                                <w:rFonts w:ascii="標楷體" w:eastAsia="標楷體" w:hAnsi="標楷體"/>
                                <w:sz w:val="28"/>
                                <w:szCs w:val="28"/>
                              </w:rPr>
                            </w:pPr>
                            <w:r w:rsidRPr="00470B04">
                              <w:rPr>
                                <w:rFonts w:ascii="標楷體" w:eastAsia="標楷體" w:hAnsi="標楷體" w:hint="eastAsia"/>
                                <w:sz w:val="28"/>
                                <w:szCs w:val="28"/>
                              </w:rPr>
                              <w:t>附件一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0EACAC4" id="_x0000_t202" coordsize="21600,21600" o:spt="202" path="m,l,21600r21600,l21600,xe">
                <v:stroke joinstyle="miter"/>
                <v:path gradientshapeok="t" o:connecttype="rect"/>
              </v:shapetype>
              <v:shape id="文字方塊 9" o:spid="_x0000_s1026" type="#_x0000_t202" style="position:absolute;left:0;text-align:left;margin-left:679.2pt;margin-top:-38.45pt;width:109.15pt;height:3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" stroked="f">
                <v:textbox>
                  <w:txbxContent>
                    <w:p w14:paraId="2F2D18DA" w14:textId="77777777" w:rsidR="00AB0EBB" w:rsidRPr="00470B04" w:rsidRDefault="00AB0EBB" w:rsidP="006815EF">
                      <w:pPr>
                        <w:jc w:val="center"/>
                        <w:rPr>
                          <w:rFonts w:ascii="標楷體" w:eastAsia="標楷體" w:hAnsi="標楷體"/>
                          <w:sz w:val="28"/>
                          <w:szCs w:val="28"/>
                        </w:rPr>
                      </w:pPr>
                      <w:r w:rsidRPr="00470B04">
                        <w:rPr>
                          <w:rFonts w:ascii="標楷體" w:eastAsia="標楷體" w:hAnsi="標楷體" w:hint="eastAsia"/>
                          <w:sz w:val="28"/>
                          <w:szCs w:val="28"/>
                        </w:rPr>
                        <w:t>附件一</w:t>
                      </w:r>
                    </w:p>
                  </w:txbxContent>
                </v:textbox>
              </v:shape>
            </w:pict>
          </mc:Fallback>
        </mc:AlternateContent>
      </w:r>
      <w:r w:rsidR="00845FF3">
        <w:rPr>
          <w:rFonts w:eastAsiaTheme="minorEastAsia"/>
          <w:noProof/>
          <w:szCs w:val="22"/>
        </w:rPr>
        <mc:AlternateContent>
          <mc:Choice Requires="wps">
            <w:drawing>
              <wp:anchor distT="0" distB="0" distL="114300" distR="114300" simplePos="0" relativeHeight="251663360" behindDoc="0" locked="0" layoutInCell="1" allowOverlap="1" wp14:anchorId="35EE9163" wp14:editId="36395107">
                <wp:simplePos x="0" y="0"/>
                <wp:positionH relativeFrom="column">
                  <wp:posOffset>8625840</wp:posOffset>
                </wp:positionH>
                <wp:positionV relativeFrom="paragraph">
                  <wp:posOffset>-488315</wp:posOffset>
                </wp:positionV>
                <wp:extent cx="1386205" cy="445135"/>
                <wp:effectExtent l="0" t="0" r="4445" b="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620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C49D9" w14:textId="77777777" w:rsidR="00845FF3" w:rsidRDefault="00845FF3" w:rsidP="00845FF3">
                            <w:pPr>
                              <w:jc w:val="center"/>
                              <w:rPr>
                                <w:rFonts w:ascii="標楷體" w:eastAsia="標楷體" w:hAnsi="標楷體"/>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EE9163" id="_x0000_t202" coordsize="21600,21600" o:spt="202" path="m,l,21600r21600,l21600,xe">
                <v:stroke joinstyle="miter"/>
                <v:path gradientshapeok="t" o:connecttype="rect"/>
              </v:shapetype>
              <v:shape id="文字方塊 1" o:spid="_x0000_s1027" type="#_x0000_t202" style="position:absolute;left:0;text-align:left;margin-left:679.2pt;margin-top:-38.45pt;width:109.15pt;height:3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" stroked="f">
                <v:textbox>
                  <w:txbxContent>
                    <w:p w14:paraId="1C4C49D9" w14:textId="77777777" w:rsidR="00845FF3" w:rsidRDefault="00845FF3" w:rsidP="00845FF3">
                      <w:pPr>
                        <w:jc w:val="center"/>
                        <w:rPr>
                          <w:rFonts w:ascii="標楷體" w:eastAsia="標楷體" w:hAnsi="標楷體"/>
                          <w:sz w:val="28"/>
                          <w:szCs w:val="28"/>
                        </w:rPr>
                      </w:pPr>
                    </w:p>
                  </w:txbxContent>
                </v:textbox>
              </v:shape>
            </w:pict>
          </mc:Fallback>
        </mc:AlternateContent>
      </w:r>
      <w:r w:rsidR="00845FF3">
        <w:rPr>
          <w:rFonts w:eastAsia="標楷體" w:hint="eastAsia"/>
          <w:noProof/>
          <w:sz w:val="34"/>
          <w:szCs w:val="34"/>
        </w:rPr>
        <w:t>國防部空軍司令部</w:t>
      </w:r>
      <w:r w:rsidR="00845FF3">
        <w:rPr>
          <w:rFonts w:eastAsia="標楷體"/>
          <w:noProof/>
          <w:color w:val="000000" w:themeColor="text1"/>
          <w:sz w:val="34"/>
          <w:szCs w:val="34"/>
        </w:rPr>
        <w:t>116</w:t>
      </w:r>
      <w:r w:rsidR="00845FF3">
        <w:rPr>
          <w:rFonts w:eastAsia="標楷體" w:hint="eastAsia"/>
          <w:color w:val="000000" w:themeColor="text1"/>
          <w:sz w:val="34"/>
          <w:szCs w:val="34"/>
        </w:rPr>
        <w:t>年「國防先進科技研究計畫」構想書</w:t>
      </w:r>
    </w:p>
    <w:tbl>
      <w:tblPr>
        <w:tblW w:w="10303" w:type="dxa"/>
        <w:jc w:val="center"/>
        <w:tblLayout w:type="fixed"/>
        <w:tblLook w:val="0000" w:firstRow="0" w:lastRow="0" w:firstColumn="0" w:lastColumn="0" w:noHBand="0" w:noVBand="0"/>
      </w:tblPr>
      <w:tblGrid>
        <w:gridCol w:w="805"/>
        <w:gridCol w:w="851"/>
        <w:gridCol w:w="5103"/>
        <w:gridCol w:w="3544"/>
      </w:tblGrid>
      <w:tr w:rsidR="006815EF" w:rsidRPr="003E2964" w14:paraId="3D1C43CF" w14:textId="77777777" w:rsidTr="00D721B6">
        <w:trPr>
          <w:trHeight w:val="592"/>
          <w:tblHeader/>
          <w:jc w:val="center"/>
        </w:trPr>
        <w:tc>
          <w:tcPr>
            <w:tcW w:w="6759"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14:paraId="2041876F" w14:textId="4824E79A" w:rsidR="006815EF" w:rsidRPr="003E2964" w:rsidRDefault="006815EF" w:rsidP="00511E3B">
            <w:pPr>
              <w:snapToGrid w:val="0"/>
              <w:ind w:firstLineChars="1" w:firstLine="3"/>
              <w:rPr>
                <w:rFonts w:eastAsia="標楷體"/>
                <w:sz w:val="28"/>
                <w:szCs w:val="28"/>
              </w:rPr>
            </w:pPr>
            <w:bookmarkStart w:id="0" w:name="_GoBack"/>
            <w:bookmarkEnd w:id="0"/>
            <w:r w:rsidRPr="003E2964">
              <w:rPr>
                <w:rFonts w:eastAsia="標楷體"/>
                <w:sz w:val="28"/>
                <w:szCs w:val="28"/>
              </w:rPr>
              <w:t>計畫名稱：</w:t>
            </w:r>
            <w:r w:rsidR="005A095C" w:rsidRPr="003E2964">
              <w:rPr>
                <w:rFonts w:eastAsia="標楷體"/>
                <w:sz w:val="28"/>
                <w:szCs w:val="28"/>
              </w:rPr>
              <w:t>超高性能混凝土</w:t>
            </w:r>
            <w:r w:rsidR="00693AF4" w:rsidRPr="003E2964">
              <w:rPr>
                <w:rFonts w:eastAsia="標楷體"/>
                <w:sz w:val="28"/>
                <w:szCs w:val="28"/>
              </w:rPr>
              <w:t>抗炸機庫堡</w:t>
            </w:r>
            <w:r w:rsidR="005A095C" w:rsidRPr="003E2964">
              <w:rPr>
                <w:rFonts w:eastAsia="標楷體"/>
                <w:sz w:val="28"/>
                <w:szCs w:val="28"/>
              </w:rPr>
              <w:t>之抗炸性能</w:t>
            </w:r>
            <w:r w:rsidR="00693AF4" w:rsidRPr="003E2964">
              <w:rPr>
                <w:rFonts w:eastAsia="標楷體"/>
                <w:sz w:val="28"/>
                <w:szCs w:val="28"/>
              </w:rPr>
              <w:t>與設計</w:t>
            </w:r>
            <w:r w:rsidR="000B6BFF" w:rsidRPr="003E2964">
              <w:rPr>
                <w:rFonts w:eastAsia="標楷體"/>
                <w:sz w:val="28"/>
                <w:szCs w:val="28"/>
              </w:rPr>
              <w:t>（</w:t>
            </w:r>
            <w:r w:rsidR="000B6BFF" w:rsidRPr="003E2964">
              <w:rPr>
                <w:rFonts w:eastAsia="標楷體"/>
                <w:sz w:val="28"/>
                <w:szCs w:val="28"/>
              </w:rPr>
              <w:t>1/2</w:t>
            </w:r>
            <w:r w:rsidR="000B6BFF" w:rsidRPr="003E2964">
              <w:rPr>
                <w:rFonts w:eastAsia="標楷體"/>
                <w:sz w:val="28"/>
                <w:szCs w:val="28"/>
              </w:rPr>
              <w:t>）</w:t>
            </w:r>
          </w:p>
        </w:tc>
        <w:tc>
          <w:tcPr>
            <w:tcW w:w="3544" w:type="dxa"/>
            <w:tcBorders>
              <w:top w:val="single" w:sz="4" w:space="0" w:color="000000"/>
              <w:left w:val="single" w:sz="4" w:space="0" w:color="auto"/>
              <w:bottom w:val="single" w:sz="4" w:space="0" w:color="000000"/>
              <w:right w:val="single" w:sz="4" w:space="0" w:color="000000"/>
            </w:tcBorders>
            <w:shd w:val="clear" w:color="auto" w:fill="auto"/>
            <w:vAlign w:val="center"/>
          </w:tcPr>
          <w:p w14:paraId="0CF5647A" w14:textId="07C4A921" w:rsidR="006815EF" w:rsidRPr="003E2964" w:rsidRDefault="006815EF" w:rsidP="00297190">
            <w:pPr>
              <w:snapToGrid w:val="0"/>
              <w:rPr>
                <w:rFonts w:eastAsia="標楷體"/>
                <w:sz w:val="28"/>
                <w:szCs w:val="28"/>
              </w:rPr>
            </w:pPr>
            <w:r w:rsidRPr="003E2964">
              <w:rPr>
                <w:rFonts w:eastAsia="標楷體"/>
                <w:sz w:val="28"/>
                <w:szCs w:val="28"/>
              </w:rPr>
              <w:t>計畫期程：</w:t>
            </w:r>
            <w:r w:rsidR="002248E8" w:rsidRPr="003E2964">
              <w:rPr>
                <w:rFonts w:eastAsia="標楷體"/>
                <w:sz w:val="28"/>
                <w:szCs w:val="28"/>
              </w:rPr>
              <w:t>11</w:t>
            </w:r>
            <w:r w:rsidR="00AC3B89" w:rsidRPr="003E2964">
              <w:rPr>
                <w:rFonts w:eastAsia="標楷體"/>
                <w:sz w:val="28"/>
                <w:szCs w:val="28"/>
              </w:rPr>
              <w:t>6</w:t>
            </w:r>
            <w:r w:rsidR="00C02542" w:rsidRPr="003E2964">
              <w:rPr>
                <w:rFonts w:eastAsia="標楷體"/>
                <w:sz w:val="28"/>
                <w:szCs w:val="28"/>
              </w:rPr>
              <w:t>-11</w:t>
            </w:r>
            <w:r w:rsidR="00AC3B89" w:rsidRPr="003E2964">
              <w:rPr>
                <w:rFonts w:eastAsia="標楷體"/>
                <w:sz w:val="28"/>
                <w:szCs w:val="28"/>
              </w:rPr>
              <w:t>7</w:t>
            </w:r>
            <w:r w:rsidRPr="003E2964">
              <w:rPr>
                <w:rFonts w:eastAsia="標楷體"/>
                <w:sz w:val="28"/>
                <w:szCs w:val="28"/>
              </w:rPr>
              <w:t>年</w:t>
            </w:r>
          </w:p>
        </w:tc>
      </w:tr>
      <w:tr w:rsidR="006815EF" w:rsidRPr="003E2964" w14:paraId="29992A44" w14:textId="77777777" w:rsidTr="00D721B6">
        <w:trPr>
          <w:trHeight w:val="592"/>
          <w:tblHeader/>
          <w:jc w:val="center"/>
        </w:trPr>
        <w:tc>
          <w:tcPr>
            <w:tcW w:w="10303" w:type="dxa"/>
            <w:gridSpan w:val="4"/>
            <w:tcBorders>
              <w:left w:val="single" w:sz="4" w:space="0" w:color="000000"/>
              <w:bottom w:val="single" w:sz="4" w:space="0" w:color="000000"/>
              <w:right w:val="single" w:sz="4" w:space="0" w:color="000000"/>
            </w:tcBorders>
            <w:shd w:val="clear" w:color="auto" w:fill="auto"/>
            <w:vAlign w:val="center"/>
          </w:tcPr>
          <w:p w14:paraId="7142C554" w14:textId="19129BA8" w:rsidR="006815EF" w:rsidRPr="003E2964" w:rsidRDefault="006815EF" w:rsidP="00511E3B">
            <w:pPr>
              <w:snapToGrid w:val="0"/>
              <w:rPr>
                <w:rFonts w:eastAsia="標楷體"/>
                <w:sz w:val="28"/>
                <w:szCs w:val="28"/>
              </w:rPr>
            </w:pPr>
            <w:r w:rsidRPr="003E2964">
              <w:rPr>
                <w:rFonts w:eastAsia="標楷體"/>
                <w:sz w:val="28"/>
                <w:szCs w:val="28"/>
              </w:rPr>
              <w:t>提案單位：</w:t>
            </w:r>
            <w:r w:rsidR="000F2D0A" w:rsidRPr="003E2964">
              <w:rPr>
                <w:rFonts w:eastAsia="標楷體"/>
                <w:sz w:val="28"/>
                <w:szCs w:val="28"/>
              </w:rPr>
              <w:t>空軍司令部</w:t>
            </w:r>
            <w:r w:rsidR="00702446" w:rsidRPr="003E2964">
              <w:rPr>
                <w:rFonts w:eastAsia="標楷體"/>
                <w:sz w:val="28"/>
                <w:szCs w:val="28"/>
              </w:rPr>
              <w:t>後勤處</w:t>
            </w:r>
            <w:r w:rsidR="001A05A9" w:rsidRPr="003E2964">
              <w:rPr>
                <w:rFonts w:eastAsia="標楷體"/>
                <w:sz w:val="28"/>
                <w:szCs w:val="28"/>
              </w:rPr>
              <w:t xml:space="preserve"> </w:t>
            </w:r>
            <w:r w:rsidR="00CE6C04" w:rsidRPr="003E2964">
              <w:rPr>
                <w:rFonts w:eastAsia="標楷體"/>
                <w:sz w:val="28"/>
                <w:szCs w:val="28"/>
              </w:rPr>
              <w:t xml:space="preserve"> </w:t>
            </w:r>
            <w:r w:rsidRPr="003E2964">
              <w:rPr>
                <w:rFonts w:eastAsia="標楷體"/>
                <w:sz w:val="28"/>
                <w:szCs w:val="28"/>
              </w:rPr>
              <w:t>聯絡人：</w:t>
            </w:r>
            <w:r w:rsidR="000F2D0A" w:rsidRPr="003E2964">
              <w:rPr>
                <w:rFonts w:eastAsia="標楷體"/>
                <w:sz w:val="28"/>
                <w:szCs w:val="28"/>
              </w:rPr>
              <w:t>林士傑</w:t>
            </w:r>
            <w:r w:rsidR="00702446" w:rsidRPr="003E2964">
              <w:rPr>
                <w:rFonts w:eastAsia="標楷體"/>
                <w:sz w:val="28"/>
                <w:szCs w:val="28"/>
              </w:rPr>
              <w:t>少校</w:t>
            </w:r>
            <w:r w:rsidRPr="003E2964">
              <w:rPr>
                <w:rFonts w:eastAsia="標楷體"/>
                <w:sz w:val="28"/>
                <w:szCs w:val="28"/>
              </w:rPr>
              <w:t xml:space="preserve">    </w:t>
            </w:r>
            <w:r w:rsidRPr="003E2964">
              <w:rPr>
                <w:rFonts w:eastAsia="標楷體"/>
                <w:sz w:val="28"/>
                <w:szCs w:val="28"/>
              </w:rPr>
              <w:t>電話：</w:t>
            </w:r>
            <w:r w:rsidR="009F424D" w:rsidRPr="003E2964">
              <w:rPr>
                <w:rFonts w:eastAsia="標楷體"/>
                <w:sz w:val="28"/>
                <w:szCs w:val="28"/>
              </w:rPr>
              <w:t>（</w:t>
            </w:r>
            <w:r w:rsidR="000F2D0A" w:rsidRPr="003E2964">
              <w:rPr>
                <w:rFonts w:eastAsia="標楷體"/>
                <w:sz w:val="28"/>
                <w:szCs w:val="28"/>
              </w:rPr>
              <w:t>02</w:t>
            </w:r>
            <w:r w:rsidR="009F424D" w:rsidRPr="003E2964">
              <w:rPr>
                <w:rFonts w:eastAsia="標楷體"/>
                <w:sz w:val="28"/>
                <w:szCs w:val="28"/>
              </w:rPr>
              <w:t>）</w:t>
            </w:r>
            <w:r w:rsidR="000F2D0A" w:rsidRPr="003E2964">
              <w:rPr>
                <w:rFonts w:eastAsia="標楷體"/>
                <w:sz w:val="28"/>
                <w:szCs w:val="28"/>
              </w:rPr>
              <w:t>25321610#674405</w:t>
            </w:r>
          </w:p>
        </w:tc>
      </w:tr>
      <w:tr w:rsidR="006815EF" w:rsidRPr="003E2964" w14:paraId="08584A64" w14:textId="77777777" w:rsidTr="00D721B6">
        <w:trPr>
          <w:trHeight w:val="597"/>
          <w:tblHeader/>
          <w:jc w:val="center"/>
        </w:trPr>
        <w:tc>
          <w:tcPr>
            <w:tcW w:w="805" w:type="dxa"/>
            <w:tcBorders>
              <w:left w:val="single" w:sz="4" w:space="0" w:color="000000"/>
              <w:bottom w:val="single" w:sz="4" w:space="0" w:color="000000"/>
            </w:tcBorders>
            <w:vAlign w:val="center"/>
          </w:tcPr>
          <w:p w14:paraId="7E139B42" w14:textId="77777777" w:rsidR="006815EF" w:rsidRPr="003E2964" w:rsidRDefault="006815EF" w:rsidP="00511E3B">
            <w:pPr>
              <w:snapToGrid w:val="0"/>
              <w:jc w:val="center"/>
              <w:rPr>
                <w:rFonts w:eastAsia="標楷體"/>
                <w:sz w:val="28"/>
                <w:szCs w:val="28"/>
              </w:rPr>
            </w:pPr>
            <w:r w:rsidRPr="003E2964">
              <w:rPr>
                <w:rFonts w:eastAsia="標楷體"/>
                <w:sz w:val="28"/>
                <w:szCs w:val="28"/>
              </w:rPr>
              <w:t>項次</w:t>
            </w:r>
          </w:p>
        </w:tc>
        <w:tc>
          <w:tcPr>
            <w:tcW w:w="851" w:type="dxa"/>
            <w:tcBorders>
              <w:left w:val="single" w:sz="4" w:space="0" w:color="000000"/>
              <w:bottom w:val="single" w:sz="4" w:space="0" w:color="000000"/>
            </w:tcBorders>
            <w:vAlign w:val="center"/>
          </w:tcPr>
          <w:p w14:paraId="51383F3E" w14:textId="77777777" w:rsidR="006815EF" w:rsidRPr="003E2964" w:rsidRDefault="006815EF" w:rsidP="00511E3B">
            <w:pPr>
              <w:snapToGrid w:val="0"/>
              <w:jc w:val="center"/>
              <w:rPr>
                <w:rFonts w:eastAsia="標楷體"/>
                <w:sz w:val="28"/>
                <w:szCs w:val="28"/>
              </w:rPr>
            </w:pPr>
            <w:r w:rsidRPr="003E2964">
              <w:rPr>
                <w:rFonts w:eastAsia="標楷體"/>
                <w:sz w:val="28"/>
                <w:szCs w:val="28"/>
              </w:rPr>
              <w:t>項目</w:t>
            </w:r>
          </w:p>
        </w:tc>
        <w:tc>
          <w:tcPr>
            <w:tcW w:w="8647" w:type="dxa"/>
            <w:gridSpan w:val="2"/>
            <w:tcBorders>
              <w:left w:val="single" w:sz="4" w:space="0" w:color="000000"/>
              <w:bottom w:val="single" w:sz="4" w:space="0" w:color="000000"/>
              <w:right w:val="single" w:sz="4" w:space="0" w:color="000000"/>
            </w:tcBorders>
            <w:vAlign w:val="center"/>
          </w:tcPr>
          <w:p w14:paraId="75DF088F" w14:textId="77777777" w:rsidR="006815EF" w:rsidRPr="003E2964" w:rsidRDefault="006815EF" w:rsidP="00226E1A">
            <w:pPr>
              <w:snapToGrid w:val="0"/>
              <w:spacing w:line="400" w:lineRule="exact"/>
              <w:jc w:val="center"/>
              <w:rPr>
                <w:rFonts w:eastAsia="標楷體"/>
                <w:sz w:val="28"/>
                <w:szCs w:val="28"/>
              </w:rPr>
            </w:pPr>
            <w:r w:rsidRPr="003E2964">
              <w:rPr>
                <w:rFonts w:eastAsia="標楷體"/>
                <w:sz w:val="28"/>
                <w:szCs w:val="28"/>
              </w:rPr>
              <w:t>研究內容</w:t>
            </w:r>
          </w:p>
        </w:tc>
      </w:tr>
      <w:tr w:rsidR="006815EF" w:rsidRPr="003E2964" w14:paraId="7645B06D" w14:textId="77777777" w:rsidTr="0000516B">
        <w:trPr>
          <w:trHeight w:val="1128"/>
          <w:jc w:val="center"/>
        </w:trPr>
        <w:tc>
          <w:tcPr>
            <w:tcW w:w="805" w:type="dxa"/>
            <w:tcBorders>
              <w:top w:val="single" w:sz="4" w:space="0" w:color="000000"/>
              <w:left w:val="single" w:sz="4" w:space="0" w:color="000000"/>
              <w:bottom w:val="single" w:sz="4" w:space="0" w:color="000000"/>
            </w:tcBorders>
            <w:vAlign w:val="center"/>
          </w:tcPr>
          <w:p w14:paraId="1275018A" w14:textId="2514CBEF" w:rsidR="006815EF" w:rsidRPr="003E2964" w:rsidRDefault="000F2D0A" w:rsidP="00511E3B">
            <w:pPr>
              <w:snapToGrid w:val="0"/>
              <w:jc w:val="center"/>
              <w:rPr>
                <w:rFonts w:eastAsia="標楷體"/>
                <w:sz w:val="28"/>
                <w:szCs w:val="28"/>
              </w:rPr>
            </w:pPr>
            <w:r w:rsidRPr="003E2964">
              <w:rPr>
                <w:rFonts w:eastAsia="標楷體"/>
                <w:sz w:val="28"/>
                <w:szCs w:val="28"/>
              </w:rPr>
              <w:t>一</w:t>
            </w:r>
          </w:p>
        </w:tc>
        <w:tc>
          <w:tcPr>
            <w:tcW w:w="851" w:type="dxa"/>
            <w:tcBorders>
              <w:top w:val="single" w:sz="4" w:space="0" w:color="000000"/>
              <w:left w:val="single" w:sz="4" w:space="0" w:color="000000"/>
              <w:bottom w:val="single" w:sz="4" w:space="0" w:color="000000"/>
            </w:tcBorders>
            <w:vAlign w:val="center"/>
          </w:tcPr>
          <w:p w14:paraId="2DC8CFB2" w14:textId="77777777" w:rsidR="006815EF" w:rsidRPr="003E2964" w:rsidRDefault="006815EF" w:rsidP="00511E3B">
            <w:pPr>
              <w:snapToGrid w:val="0"/>
              <w:jc w:val="center"/>
              <w:rPr>
                <w:rFonts w:eastAsia="標楷體"/>
                <w:sz w:val="28"/>
                <w:szCs w:val="28"/>
              </w:rPr>
            </w:pPr>
            <w:r w:rsidRPr="003E2964">
              <w:rPr>
                <w:rFonts w:eastAsia="標楷體"/>
                <w:sz w:val="28"/>
                <w:szCs w:val="28"/>
              </w:rPr>
              <w:t>計畫目的</w:t>
            </w: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0BD49ADC" w14:textId="47CE6D0C" w:rsidR="008045A5" w:rsidRPr="003E2964" w:rsidRDefault="00897C49" w:rsidP="00226E1A">
            <w:pPr>
              <w:snapToGrid w:val="0"/>
              <w:rPr>
                <w:rFonts w:eastAsia="標楷體"/>
                <w:sz w:val="28"/>
                <w:szCs w:val="28"/>
              </w:rPr>
            </w:pPr>
            <w:r w:rsidRPr="003E2964">
              <w:rPr>
                <w:rFonts w:eastAsia="標楷體"/>
                <w:sz w:val="28"/>
                <w:szCs w:val="28"/>
              </w:rPr>
              <w:t>本研究旨在以數值分析方法探討超高性能混凝土（</w:t>
            </w:r>
            <w:r w:rsidRPr="003E2964">
              <w:rPr>
                <w:rFonts w:eastAsia="標楷體"/>
                <w:sz w:val="28"/>
                <w:szCs w:val="28"/>
              </w:rPr>
              <w:t>Ultra-High Performance Concrete, UHPC</w:t>
            </w:r>
            <w:r w:rsidRPr="003E2964">
              <w:rPr>
                <w:rFonts w:eastAsia="標楷體"/>
                <w:sz w:val="28"/>
                <w:szCs w:val="28"/>
              </w:rPr>
              <w:t>）之抗爆性能，評估其應用於抗炸機庫堡等防護性設施之可行性與成效。研究中將採用非線性有限元素分析軟體</w:t>
            </w:r>
            <w:r w:rsidRPr="003E2964">
              <w:rPr>
                <w:rFonts w:eastAsia="標楷體"/>
                <w:sz w:val="28"/>
                <w:szCs w:val="28"/>
              </w:rPr>
              <w:t xml:space="preserve"> LS-DYNA </w:t>
            </w:r>
            <w:r w:rsidRPr="003E2964">
              <w:rPr>
                <w:rFonts w:eastAsia="標楷體"/>
                <w:sz w:val="28"/>
                <w:szCs w:val="28"/>
              </w:rPr>
              <w:t>作為主要分析工具，並於模型中以可考量混凝土抗拉性能之材料設定，以模擬</w:t>
            </w:r>
            <w:r w:rsidRPr="003E2964">
              <w:rPr>
                <w:rFonts w:eastAsia="標楷體"/>
                <w:sz w:val="28"/>
                <w:szCs w:val="28"/>
              </w:rPr>
              <w:t>UHPC</w:t>
            </w:r>
            <w:r w:rsidRPr="003E2964">
              <w:rPr>
                <w:rFonts w:eastAsia="標楷體"/>
                <w:sz w:val="28"/>
                <w:szCs w:val="28"/>
              </w:rPr>
              <w:t>具備抗拉與高韌性特性之力學行為。</w:t>
            </w:r>
            <w:r w:rsidR="00EB4667" w:rsidRPr="003E2964">
              <w:rPr>
                <w:rFonts w:eastAsia="標楷體"/>
                <w:sz w:val="28"/>
                <w:szCs w:val="28"/>
              </w:rPr>
              <w:t>探討以</w:t>
            </w:r>
            <w:r w:rsidR="00EB4667" w:rsidRPr="003E2964">
              <w:rPr>
                <w:rFonts w:eastAsia="標楷體"/>
                <w:sz w:val="28"/>
                <w:szCs w:val="28"/>
              </w:rPr>
              <w:t>UHPC</w:t>
            </w:r>
            <w:r w:rsidR="00EB4667" w:rsidRPr="003E2964">
              <w:rPr>
                <w:rFonts w:eastAsia="標楷體"/>
                <w:sz w:val="28"/>
                <w:szCs w:val="28"/>
              </w:rPr>
              <w:t>、一般混凝土、鋼筋與鋼板等材料組成之</w:t>
            </w:r>
            <w:r w:rsidR="00EB4667" w:rsidRPr="003E2964">
              <w:rPr>
                <w:rFonts w:eastAsia="標楷體"/>
                <w:sz w:val="28"/>
                <w:szCs w:val="28"/>
              </w:rPr>
              <w:t>UHPC</w:t>
            </w:r>
            <w:r w:rsidR="00EB4667" w:rsidRPr="003E2964">
              <w:rPr>
                <w:rFonts w:eastAsia="標楷體"/>
                <w:sz w:val="28"/>
                <w:szCs w:val="28"/>
              </w:rPr>
              <w:t>複合構件之力量位移、受衝擊與受爆炸作用下行為。透過</w:t>
            </w:r>
            <w:r w:rsidRPr="003E2964">
              <w:rPr>
                <w:rFonts w:eastAsia="標楷體"/>
                <w:sz w:val="28"/>
                <w:szCs w:val="28"/>
              </w:rPr>
              <w:t>分析其破壞模式、能量吸收能力及殘餘變形情形，進一步探討</w:t>
            </w:r>
            <w:r w:rsidRPr="003E2964">
              <w:rPr>
                <w:rFonts w:eastAsia="標楷體"/>
                <w:sz w:val="28"/>
                <w:szCs w:val="28"/>
              </w:rPr>
              <w:t xml:space="preserve"> UHPC</w:t>
            </w:r>
            <w:r w:rsidR="00EB4667" w:rsidRPr="003E2964">
              <w:rPr>
                <w:rFonts w:eastAsia="標楷體"/>
                <w:sz w:val="28"/>
                <w:szCs w:val="28"/>
              </w:rPr>
              <w:t>及其複合構件</w:t>
            </w:r>
            <w:r w:rsidRPr="003E2964">
              <w:rPr>
                <w:rFonts w:eastAsia="標楷體"/>
                <w:sz w:val="28"/>
                <w:szCs w:val="28"/>
              </w:rPr>
              <w:t>於承受爆炸衝擊時之結構表現，作為未來軍用抗炸機庫堡與防護設施設計時之技術參考依據。</w:t>
            </w:r>
          </w:p>
        </w:tc>
      </w:tr>
      <w:tr w:rsidR="006815EF" w:rsidRPr="003E2964" w14:paraId="34D388D9" w14:textId="77777777" w:rsidTr="0000516B">
        <w:trPr>
          <w:trHeight w:val="1130"/>
          <w:jc w:val="center"/>
        </w:trPr>
        <w:tc>
          <w:tcPr>
            <w:tcW w:w="805" w:type="dxa"/>
            <w:tcBorders>
              <w:top w:val="single" w:sz="4" w:space="0" w:color="000000"/>
              <w:left w:val="single" w:sz="4" w:space="0" w:color="000000"/>
              <w:bottom w:val="single" w:sz="4" w:space="0" w:color="000000"/>
            </w:tcBorders>
            <w:vAlign w:val="center"/>
          </w:tcPr>
          <w:p w14:paraId="6A8E42E0" w14:textId="7A141D94" w:rsidR="006815EF" w:rsidRPr="003E2964" w:rsidRDefault="000F2D0A" w:rsidP="00511E3B">
            <w:pPr>
              <w:snapToGrid w:val="0"/>
              <w:jc w:val="center"/>
              <w:rPr>
                <w:rFonts w:eastAsia="標楷體"/>
                <w:sz w:val="28"/>
                <w:szCs w:val="28"/>
              </w:rPr>
            </w:pPr>
            <w:r w:rsidRPr="003E2964">
              <w:rPr>
                <w:rFonts w:eastAsia="標楷體"/>
                <w:sz w:val="28"/>
                <w:szCs w:val="28"/>
              </w:rPr>
              <w:t>二</w:t>
            </w:r>
          </w:p>
        </w:tc>
        <w:tc>
          <w:tcPr>
            <w:tcW w:w="851" w:type="dxa"/>
            <w:tcBorders>
              <w:top w:val="single" w:sz="4" w:space="0" w:color="000000"/>
              <w:left w:val="single" w:sz="4" w:space="0" w:color="000000"/>
              <w:bottom w:val="single" w:sz="4" w:space="0" w:color="000000"/>
            </w:tcBorders>
            <w:vAlign w:val="center"/>
          </w:tcPr>
          <w:p w14:paraId="6EA88030" w14:textId="77777777" w:rsidR="006815EF" w:rsidRPr="003E2964" w:rsidRDefault="006815EF" w:rsidP="00511E3B">
            <w:pPr>
              <w:snapToGrid w:val="0"/>
              <w:jc w:val="center"/>
              <w:rPr>
                <w:rFonts w:eastAsia="標楷體"/>
                <w:sz w:val="28"/>
                <w:szCs w:val="28"/>
              </w:rPr>
            </w:pPr>
            <w:r w:rsidRPr="003E2964">
              <w:rPr>
                <w:rFonts w:eastAsia="標楷體"/>
                <w:sz w:val="28"/>
                <w:szCs w:val="28"/>
              </w:rPr>
              <w:t>研究議題</w:t>
            </w: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3503B5FB" w14:textId="50C9E3E4" w:rsidR="00245680" w:rsidRPr="003E2964" w:rsidRDefault="00245680" w:rsidP="009F424D">
            <w:pPr>
              <w:snapToGrid w:val="0"/>
              <w:rPr>
                <w:rFonts w:eastAsia="標楷體"/>
                <w:sz w:val="28"/>
                <w:szCs w:val="28"/>
              </w:rPr>
            </w:pPr>
            <w:r w:rsidRPr="003E2964">
              <w:rPr>
                <w:rFonts w:eastAsia="標楷體"/>
                <w:sz w:val="28"/>
                <w:szCs w:val="28"/>
              </w:rPr>
              <w:t>本案為一</w:t>
            </w:r>
            <w:r w:rsidR="008054D3" w:rsidRPr="003E2964">
              <w:rPr>
                <w:rFonts w:eastAsia="標楷體"/>
                <w:sz w:val="28"/>
                <w:szCs w:val="28"/>
              </w:rPr>
              <w:t>以數值分析方法探討超高性能混凝土</w:t>
            </w:r>
            <w:r w:rsidR="002B1740" w:rsidRPr="003E2964">
              <w:rPr>
                <w:rFonts w:eastAsia="標楷體"/>
                <w:sz w:val="28"/>
                <w:szCs w:val="28"/>
              </w:rPr>
              <w:t>及其複合構件</w:t>
            </w:r>
            <w:r w:rsidR="008054D3" w:rsidRPr="003E2964">
              <w:rPr>
                <w:rFonts w:eastAsia="標楷體"/>
                <w:sz w:val="28"/>
                <w:szCs w:val="28"/>
              </w:rPr>
              <w:t>之抗爆性能研究，其主要研究議題包含以下：</w:t>
            </w:r>
          </w:p>
          <w:p w14:paraId="5AF75290" w14:textId="7D98BA3B" w:rsidR="006607E8" w:rsidRPr="003E2964" w:rsidRDefault="006607E8" w:rsidP="003E2964">
            <w:pPr>
              <w:pStyle w:val="a8"/>
              <w:numPr>
                <w:ilvl w:val="0"/>
                <w:numId w:val="12"/>
              </w:numPr>
              <w:snapToGrid w:val="0"/>
              <w:ind w:leftChars="0" w:left="573" w:hanging="573"/>
              <w:jc w:val="both"/>
              <w:rPr>
                <w:rFonts w:ascii="Times New Roman" w:eastAsia="標楷體" w:hAnsi="Times New Roman"/>
                <w:sz w:val="28"/>
                <w:szCs w:val="28"/>
              </w:rPr>
            </w:pPr>
            <w:r w:rsidRPr="003E2964">
              <w:rPr>
                <w:rFonts w:ascii="Times New Roman" w:eastAsia="標楷體" w:hAnsi="Times New Roman"/>
                <w:sz w:val="28"/>
                <w:szCs w:val="28"/>
              </w:rPr>
              <w:t>第一年</w:t>
            </w:r>
            <w:r w:rsidR="009F424D" w:rsidRPr="003E2964">
              <w:rPr>
                <w:rFonts w:ascii="Times New Roman" w:eastAsia="標楷體" w:hAnsi="Times New Roman"/>
                <w:sz w:val="28"/>
                <w:szCs w:val="28"/>
              </w:rPr>
              <w:t>（</w:t>
            </w:r>
            <w:r w:rsidR="009F424D" w:rsidRPr="003E2964">
              <w:rPr>
                <w:rFonts w:ascii="Times New Roman" w:eastAsia="標楷體" w:hAnsi="Times New Roman"/>
                <w:sz w:val="28"/>
                <w:szCs w:val="28"/>
              </w:rPr>
              <w:t>116</w:t>
            </w:r>
            <w:r w:rsidRPr="003E2964">
              <w:rPr>
                <w:rFonts w:ascii="Times New Roman" w:eastAsia="標楷體" w:hAnsi="Times New Roman"/>
                <w:sz w:val="28"/>
                <w:szCs w:val="28"/>
              </w:rPr>
              <w:t>年</w:t>
            </w:r>
            <w:r w:rsidR="009F424D" w:rsidRPr="003E2964">
              <w:rPr>
                <w:rFonts w:ascii="Times New Roman" w:eastAsia="標楷體" w:hAnsi="Times New Roman"/>
                <w:sz w:val="28"/>
                <w:szCs w:val="28"/>
              </w:rPr>
              <w:t>）</w:t>
            </w:r>
            <w:r w:rsidRPr="003E2964">
              <w:rPr>
                <w:rFonts w:ascii="Times New Roman" w:eastAsia="標楷體" w:hAnsi="Times New Roman"/>
                <w:sz w:val="28"/>
                <w:szCs w:val="28"/>
              </w:rPr>
              <w:t>計畫主要為建立有限元素分析模型，用以模擬</w:t>
            </w:r>
            <w:r w:rsidRPr="003E2964">
              <w:rPr>
                <w:rFonts w:ascii="Times New Roman" w:eastAsia="標楷體" w:hAnsi="Times New Roman"/>
                <w:sz w:val="28"/>
                <w:szCs w:val="28"/>
              </w:rPr>
              <w:t>UHPC</w:t>
            </w:r>
            <w:r w:rsidRPr="003E2964">
              <w:rPr>
                <w:rFonts w:ascii="Times New Roman" w:eastAsia="標楷體" w:hAnsi="Times New Roman"/>
                <w:sz w:val="28"/>
                <w:szCs w:val="28"/>
              </w:rPr>
              <w:t>及其複合構件受爆炸、衝擊等力量作用下之行為。研究議題主要為以下：</w:t>
            </w:r>
          </w:p>
          <w:p w14:paraId="37D9603E" w14:textId="0E7B5A73" w:rsidR="008054D3" w:rsidRPr="003E2964" w:rsidRDefault="009F424D" w:rsidP="009F424D">
            <w:pPr>
              <w:pStyle w:val="a8"/>
              <w:snapToGrid w:val="0"/>
              <w:ind w:leftChars="81" w:left="358" w:hangingChars="70" w:hanging="196"/>
              <w:jc w:val="both"/>
              <w:rPr>
                <w:rFonts w:ascii="Times New Roman" w:eastAsia="標楷體" w:hAnsi="Times New Roman"/>
                <w:sz w:val="28"/>
                <w:szCs w:val="28"/>
              </w:rPr>
            </w:pPr>
            <w:r w:rsidRPr="003E2964">
              <w:rPr>
                <w:rFonts w:ascii="Times New Roman" w:eastAsia="標楷體" w:hAnsi="Times New Roman"/>
                <w:sz w:val="28"/>
                <w:szCs w:val="28"/>
              </w:rPr>
              <w:t>（一）</w:t>
            </w:r>
            <w:r w:rsidR="008054D3" w:rsidRPr="003E2964">
              <w:rPr>
                <w:rFonts w:ascii="Times New Roman" w:eastAsia="標楷體" w:hAnsi="Times New Roman"/>
                <w:sz w:val="28"/>
                <w:szCs w:val="28"/>
              </w:rPr>
              <w:t>蒐集國內外</w:t>
            </w:r>
            <w:r w:rsidR="003A347E" w:rsidRPr="003E2964">
              <w:rPr>
                <w:rFonts w:ascii="Times New Roman" w:eastAsia="標楷體" w:hAnsi="Times New Roman"/>
                <w:sz w:val="28"/>
                <w:szCs w:val="28"/>
              </w:rPr>
              <w:t>相關文獻與實驗數據</w:t>
            </w:r>
            <w:r w:rsidR="00917825" w:rsidRPr="003E2964">
              <w:rPr>
                <w:rFonts w:ascii="Times New Roman" w:eastAsia="標楷體" w:hAnsi="Times New Roman"/>
                <w:sz w:val="28"/>
                <w:szCs w:val="28"/>
              </w:rPr>
              <w:t>，用以驗證分析模型</w:t>
            </w:r>
            <w:r w:rsidR="00CB383E" w:rsidRPr="003E2964">
              <w:rPr>
                <w:rFonts w:ascii="Times New Roman" w:eastAsia="標楷體" w:hAnsi="Times New Roman"/>
                <w:sz w:val="28"/>
                <w:szCs w:val="28"/>
              </w:rPr>
              <w:t>。</w:t>
            </w:r>
          </w:p>
          <w:p w14:paraId="040BDD6F" w14:textId="3660503F" w:rsidR="003A347E" w:rsidRPr="003E2964" w:rsidRDefault="009F424D" w:rsidP="009F424D">
            <w:pPr>
              <w:pStyle w:val="a8"/>
              <w:snapToGrid w:val="0"/>
              <w:ind w:leftChars="89" w:left="987" w:hangingChars="289" w:hanging="809"/>
              <w:jc w:val="both"/>
              <w:rPr>
                <w:rFonts w:ascii="Times New Roman" w:eastAsia="標楷體" w:hAnsi="Times New Roman"/>
                <w:sz w:val="28"/>
                <w:szCs w:val="28"/>
              </w:rPr>
            </w:pPr>
            <w:r w:rsidRPr="003E2964">
              <w:rPr>
                <w:rFonts w:ascii="Times New Roman" w:eastAsia="標楷體" w:hAnsi="Times New Roman"/>
                <w:sz w:val="28"/>
                <w:szCs w:val="28"/>
              </w:rPr>
              <w:t>（二）</w:t>
            </w:r>
            <w:r w:rsidR="003A347E" w:rsidRPr="003E2964">
              <w:rPr>
                <w:rFonts w:ascii="Times New Roman" w:eastAsia="標楷體" w:hAnsi="Times New Roman"/>
                <w:sz w:val="28"/>
                <w:szCs w:val="28"/>
              </w:rPr>
              <w:t>建立</w:t>
            </w:r>
            <w:r w:rsidR="009F5B81" w:rsidRPr="003E2964">
              <w:rPr>
                <w:rFonts w:ascii="Times New Roman" w:eastAsia="標楷體" w:hAnsi="Times New Roman"/>
                <w:sz w:val="28"/>
                <w:szCs w:val="28"/>
              </w:rPr>
              <w:t>一般混凝土、鋼筋與鋼板、以及</w:t>
            </w:r>
            <w:r w:rsidR="009F5B81" w:rsidRPr="003E2964">
              <w:rPr>
                <w:rFonts w:ascii="Times New Roman" w:eastAsia="標楷體" w:hAnsi="Times New Roman"/>
                <w:sz w:val="28"/>
                <w:szCs w:val="28"/>
              </w:rPr>
              <w:t>UHPC</w:t>
            </w:r>
            <w:r w:rsidR="009F5B81" w:rsidRPr="003E2964">
              <w:rPr>
                <w:rFonts w:ascii="Times New Roman" w:eastAsia="標楷體" w:hAnsi="Times New Roman"/>
                <w:sz w:val="28"/>
                <w:szCs w:val="28"/>
              </w:rPr>
              <w:t>之</w:t>
            </w:r>
            <w:r w:rsidR="003A347E" w:rsidRPr="003E2964">
              <w:rPr>
                <w:rFonts w:ascii="Times New Roman" w:eastAsia="標楷體" w:hAnsi="Times New Roman"/>
                <w:sz w:val="28"/>
                <w:szCs w:val="28"/>
              </w:rPr>
              <w:t>材料</w:t>
            </w:r>
            <w:r w:rsidR="00917825" w:rsidRPr="003E2964">
              <w:rPr>
                <w:rFonts w:ascii="Times New Roman" w:eastAsia="標楷體" w:hAnsi="Times New Roman"/>
                <w:sz w:val="28"/>
                <w:szCs w:val="28"/>
              </w:rPr>
              <w:t>組成</w:t>
            </w:r>
            <w:r w:rsidR="009F5B81" w:rsidRPr="003E2964">
              <w:rPr>
                <w:rFonts w:ascii="Times New Roman" w:eastAsia="標楷體" w:hAnsi="Times New Roman"/>
                <w:sz w:val="28"/>
                <w:szCs w:val="28"/>
              </w:rPr>
              <w:t>律</w:t>
            </w:r>
            <w:r w:rsidR="003A347E" w:rsidRPr="003E2964">
              <w:rPr>
                <w:rFonts w:ascii="Times New Roman" w:eastAsia="標楷體" w:hAnsi="Times New Roman"/>
                <w:sz w:val="28"/>
                <w:szCs w:val="28"/>
              </w:rPr>
              <w:t>，其可模擬抗壓、抗拉等力學行為與受爆炸衝擊加載下之動態行為</w:t>
            </w:r>
            <w:r w:rsidR="00420BE2" w:rsidRPr="003E2964">
              <w:rPr>
                <w:rFonts w:ascii="Times New Roman" w:eastAsia="標楷體" w:hAnsi="Times New Roman"/>
                <w:sz w:val="28"/>
                <w:szCs w:val="28"/>
              </w:rPr>
              <w:t>，</w:t>
            </w:r>
            <w:r w:rsidR="002B1740" w:rsidRPr="003E2964">
              <w:rPr>
                <w:rFonts w:ascii="Times New Roman" w:eastAsia="標楷體" w:hAnsi="Times New Roman"/>
                <w:sz w:val="28"/>
                <w:szCs w:val="28"/>
              </w:rPr>
              <w:t>同時</w:t>
            </w:r>
            <w:r w:rsidR="002F52CF" w:rsidRPr="003E2964">
              <w:rPr>
                <w:rFonts w:ascii="Times New Roman" w:eastAsia="標楷體" w:hAnsi="Times New Roman"/>
                <w:sz w:val="28"/>
                <w:szCs w:val="28"/>
              </w:rPr>
              <w:t>亦</w:t>
            </w:r>
            <w:r w:rsidR="002B1740" w:rsidRPr="003E2964">
              <w:rPr>
                <w:rFonts w:ascii="Times New Roman" w:eastAsia="標楷體" w:hAnsi="Times New Roman"/>
                <w:sz w:val="28"/>
                <w:szCs w:val="28"/>
              </w:rPr>
              <w:t>包含</w:t>
            </w:r>
            <w:r w:rsidR="009F5B81" w:rsidRPr="003E2964">
              <w:rPr>
                <w:rFonts w:ascii="Times New Roman" w:eastAsia="標楷體" w:hAnsi="Times New Roman"/>
                <w:sz w:val="28"/>
                <w:szCs w:val="28"/>
              </w:rPr>
              <w:t>上述材料之</w:t>
            </w:r>
            <w:r w:rsidR="002B1740" w:rsidRPr="003E2964">
              <w:rPr>
                <w:rFonts w:ascii="Times New Roman" w:eastAsia="標楷體" w:hAnsi="Times New Roman"/>
                <w:sz w:val="28"/>
                <w:szCs w:val="28"/>
              </w:rPr>
              <w:t>複合結構</w:t>
            </w:r>
            <w:r w:rsidR="009F5B81" w:rsidRPr="003E2964">
              <w:rPr>
                <w:rFonts w:ascii="Times New Roman" w:eastAsia="標楷體" w:hAnsi="Times New Roman"/>
                <w:sz w:val="28"/>
                <w:szCs w:val="28"/>
              </w:rPr>
              <w:t>的動態行為</w:t>
            </w:r>
            <w:r w:rsidR="002B1740" w:rsidRPr="003E2964">
              <w:rPr>
                <w:rFonts w:ascii="Times New Roman" w:eastAsia="標楷體" w:hAnsi="Times New Roman"/>
                <w:sz w:val="28"/>
                <w:szCs w:val="28"/>
              </w:rPr>
              <w:t>。</w:t>
            </w:r>
          </w:p>
          <w:p w14:paraId="60B12B8C" w14:textId="01F52613" w:rsidR="006607E8" w:rsidRPr="003E2964" w:rsidRDefault="009F424D" w:rsidP="009F424D">
            <w:pPr>
              <w:pStyle w:val="a8"/>
              <w:snapToGrid w:val="0"/>
              <w:ind w:leftChars="89" w:left="987" w:hangingChars="289" w:hanging="809"/>
              <w:jc w:val="both"/>
              <w:rPr>
                <w:rFonts w:ascii="Times New Roman" w:eastAsia="標楷體" w:hAnsi="Times New Roman"/>
                <w:sz w:val="28"/>
                <w:szCs w:val="28"/>
              </w:rPr>
            </w:pPr>
            <w:r w:rsidRPr="003E2964">
              <w:rPr>
                <w:rFonts w:ascii="Times New Roman" w:eastAsia="標楷體" w:hAnsi="Times New Roman"/>
                <w:sz w:val="28"/>
                <w:szCs w:val="28"/>
              </w:rPr>
              <w:t>（三）</w:t>
            </w:r>
            <w:r w:rsidR="00EB433A" w:rsidRPr="003E2964">
              <w:rPr>
                <w:rFonts w:ascii="Times New Roman" w:eastAsia="標楷體" w:hAnsi="Times New Roman"/>
                <w:sz w:val="28"/>
                <w:szCs w:val="28"/>
              </w:rPr>
              <w:t>建立爆炸模擬</w:t>
            </w:r>
            <w:r w:rsidR="004B05F0" w:rsidRPr="003E2964">
              <w:rPr>
                <w:rFonts w:ascii="Times New Roman" w:eastAsia="標楷體" w:hAnsi="Times New Roman"/>
                <w:sz w:val="28"/>
                <w:szCs w:val="28"/>
              </w:rPr>
              <w:t>分析</w:t>
            </w:r>
            <w:r w:rsidR="00EB433A" w:rsidRPr="003E2964">
              <w:rPr>
                <w:rFonts w:ascii="Times New Roman" w:eastAsia="標楷體" w:hAnsi="Times New Roman"/>
                <w:sz w:val="28"/>
                <w:szCs w:val="28"/>
              </w:rPr>
              <w:t>模型，</w:t>
            </w:r>
            <w:r w:rsidR="004B05F0" w:rsidRPr="003E2964">
              <w:rPr>
                <w:rFonts w:ascii="Times New Roman" w:eastAsia="標楷體" w:hAnsi="Times New Roman"/>
                <w:sz w:val="28"/>
                <w:szCs w:val="28"/>
              </w:rPr>
              <w:t>並透過實驗結果驗證其正確性，能</w:t>
            </w:r>
            <w:r w:rsidR="00EB433A" w:rsidRPr="003E2964">
              <w:rPr>
                <w:rFonts w:ascii="Times New Roman" w:eastAsia="標楷體" w:hAnsi="Times New Roman"/>
                <w:sz w:val="28"/>
                <w:szCs w:val="28"/>
              </w:rPr>
              <w:t>用以模擬超高性能混凝土</w:t>
            </w:r>
            <w:r w:rsidR="006F7B58" w:rsidRPr="003E2964">
              <w:rPr>
                <w:rFonts w:ascii="Times New Roman" w:eastAsia="標楷體" w:hAnsi="Times New Roman"/>
                <w:sz w:val="28"/>
                <w:szCs w:val="28"/>
              </w:rPr>
              <w:t>及其複合構件</w:t>
            </w:r>
            <w:r w:rsidR="00EB433A" w:rsidRPr="003E2964">
              <w:rPr>
                <w:rFonts w:ascii="Times New Roman" w:eastAsia="標楷體" w:hAnsi="Times New Roman"/>
                <w:sz w:val="28"/>
                <w:szCs w:val="28"/>
              </w:rPr>
              <w:t>受爆炸荷載下行為</w:t>
            </w:r>
            <w:r w:rsidR="00CB383E" w:rsidRPr="003E2964">
              <w:rPr>
                <w:rFonts w:ascii="Times New Roman" w:eastAsia="標楷體" w:hAnsi="Times New Roman"/>
                <w:sz w:val="28"/>
                <w:szCs w:val="28"/>
              </w:rPr>
              <w:t>。</w:t>
            </w:r>
          </w:p>
          <w:p w14:paraId="2C02878C" w14:textId="644FB4D7" w:rsidR="006607E8" w:rsidRPr="003E2964" w:rsidRDefault="006607E8" w:rsidP="003E2964">
            <w:pPr>
              <w:pStyle w:val="a8"/>
              <w:numPr>
                <w:ilvl w:val="0"/>
                <w:numId w:val="12"/>
              </w:numPr>
              <w:snapToGrid w:val="0"/>
              <w:ind w:leftChars="0" w:left="573" w:hanging="573"/>
              <w:jc w:val="both"/>
              <w:rPr>
                <w:rFonts w:ascii="Times New Roman" w:eastAsia="標楷體" w:hAnsi="Times New Roman"/>
                <w:sz w:val="28"/>
                <w:szCs w:val="28"/>
              </w:rPr>
            </w:pPr>
            <w:r w:rsidRPr="003E2964">
              <w:rPr>
                <w:rFonts w:ascii="Times New Roman" w:eastAsia="標楷體" w:hAnsi="Times New Roman"/>
                <w:sz w:val="28"/>
                <w:szCs w:val="28"/>
              </w:rPr>
              <w:t>第二年</w:t>
            </w:r>
            <w:r w:rsidR="009F424D" w:rsidRPr="003E2964">
              <w:rPr>
                <w:rFonts w:ascii="Times New Roman" w:eastAsia="標楷體" w:hAnsi="Times New Roman"/>
                <w:sz w:val="28"/>
                <w:szCs w:val="28"/>
              </w:rPr>
              <w:t>（</w:t>
            </w:r>
            <w:r w:rsidRPr="003E2964">
              <w:rPr>
                <w:rFonts w:ascii="Times New Roman" w:eastAsia="標楷體" w:hAnsi="Times New Roman"/>
                <w:sz w:val="28"/>
                <w:szCs w:val="28"/>
              </w:rPr>
              <w:t>11</w:t>
            </w:r>
            <w:r w:rsidR="009F424D" w:rsidRPr="003E2964">
              <w:rPr>
                <w:rFonts w:ascii="Times New Roman" w:eastAsia="標楷體" w:hAnsi="Times New Roman"/>
                <w:sz w:val="28"/>
                <w:szCs w:val="28"/>
              </w:rPr>
              <w:t>7</w:t>
            </w:r>
            <w:r w:rsidRPr="003E2964">
              <w:rPr>
                <w:rFonts w:ascii="Times New Roman" w:eastAsia="標楷體" w:hAnsi="Times New Roman"/>
                <w:sz w:val="28"/>
                <w:szCs w:val="28"/>
              </w:rPr>
              <w:t>年</w:t>
            </w:r>
            <w:r w:rsidR="009F424D" w:rsidRPr="003E2964">
              <w:rPr>
                <w:rFonts w:ascii="Times New Roman" w:eastAsia="標楷體" w:hAnsi="Times New Roman"/>
                <w:sz w:val="28"/>
                <w:szCs w:val="28"/>
              </w:rPr>
              <w:t>）</w:t>
            </w:r>
            <w:r w:rsidRPr="003E2964">
              <w:rPr>
                <w:rFonts w:ascii="Times New Roman" w:eastAsia="標楷體" w:hAnsi="Times New Roman"/>
                <w:sz w:val="28"/>
                <w:szCs w:val="28"/>
              </w:rPr>
              <w:t>計畫延續前年</w:t>
            </w:r>
            <w:r w:rsidR="004B05F0" w:rsidRPr="003E2964">
              <w:rPr>
                <w:rFonts w:ascii="Times New Roman" w:eastAsia="標楷體" w:hAnsi="Times New Roman"/>
                <w:sz w:val="28"/>
                <w:szCs w:val="28"/>
              </w:rPr>
              <w:t>度</w:t>
            </w:r>
            <w:r w:rsidRPr="003E2964">
              <w:rPr>
                <w:rFonts w:ascii="Times New Roman" w:eastAsia="標楷體" w:hAnsi="Times New Roman"/>
                <w:sz w:val="28"/>
                <w:szCs w:val="28"/>
              </w:rPr>
              <w:t>計劃，</w:t>
            </w:r>
            <w:r w:rsidR="004B05F0" w:rsidRPr="003E2964">
              <w:rPr>
                <w:rFonts w:ascii="Times New Roman" w:eastAsia="標楷體" w:hAnsi="Times New Roman"/>
                <w:sz w:val="28"/>
                <w:szCs w:val="28"/>
              </w:rPr>
              <w:t>應用</w:t>
            </w:r>
            <w:r w:rsidRPr="003E2964">
              <w:rPr>
                <w:rFonts w:ascii="Times New Roman" w:eastAsia="標楷體" w:hAnsi="Times New Roman"/>
                <w:sz w:val="28"/>
                <w:szCs w:val="28"/>
              </w:rPr>
              <w:t>所開發之</w:t>
            </w:r>
            <w:r w:rsidR="004B05F0" w:rsidRPr="003E2964">
              <w:rPr>
                <w:rFonts w:ascii="Times New Roman" w:eastAsia="標楷體" w:hAnsi="Times New Roman"/>
                <w:sz w:val="28"/>
                <w:szCs w:val="28"/>
              </w:rPr>
              <w:t>動態分析</w:t>
            </w:r>
            <w:r w:rsidRPr="003E2964">
              <w:rPr>
                <w:rFonts w:ascii="Times New Roman" w:eastAsia="標楷體" w:hAnsi="Times New Roman"/>
                <w:sz w:val="28"/>
                <w:szCs w:val="28"/>
              </w:rPr>
              <w:t>模型</w:t>
            </w:r>
            <w:r w:rsidR="004B05F0" w:rsidRPr="003E2964">
              <w:rPr>
                <w:rFonts w:ascii="Times New Roman" w:eastAsia="標楷體" w:hAnsi="Times New Roman"/>
                <w:sz w:val="28"/>
                <w:szCs w:val="28"/>
              </w:rPr>
              <w:t>，</w:t>
            </w:r>
            <w:r w:rsidRPr="003E2964">
              <w:rPr>
                <w:rFonts w:ascii="Times New Roman" w:eastAsia="標楷體" w:hAnsi="Times New Roman"/>
                <w:sz w:val="28"/>
                <w:szCs w:val="28"/>
              </w:rPr>
              <w:t>進行參數</w:t>
            </w:r>
            <w:r w:rsidR="004B05F0" w:rsidRPr="003E2964">
              <w:rPr>
                <w:rFonts w:ascii="Times New Roman" w:eastAsia="標楷體" w:hAnsi="Times New Roman"/>
                <w:sz w:val="28"/>
                <w:szCs w:val="28"/>
              </w:rPr>
              <w:t>研究與</w:t>
            </w:r>
            <w:r w:rsidRPr="003E2964">
              <w:rPr>
                <w:rFonts w:ascii="Times New Roman" w:eastAsia="標楷體" w:hAnsi="Times New Roman"/>
                <w:sz w:val="28"/>
                <w:szCs w:val="28"/>
              </w:rPr>
              <w:t>分析。透過調整模型中</w:t>
            </w:r>
            <w:r w:rsidRPr="003E2964">
              <w:rPr>
                <w:rFonts w:ascii="Times New Roman" w:eastAsia="標楷體" w:hAnsi="Times New Roman"/>
                <w:sz w:val="28"/>
                <w:szCs w:val="28"/>
              </w:rPr>
              <w:t>UHPC</w:t>
            </w:r>
            <w:r w:rsidRPr="003E2964">
              <w:rPr>
                <w:rFonts w:ascii="Times New Roman" w:eastAsia="標楷體" w:hAnsi="Times New Roman"/>
                <w:sz w:val="28"/>
                <w:szCs w:val="28"/>
              </w:rPr>
              <w:t>厚度等參數，分析其受衝擊與爆炸之行為與成效，量化應用</w:t>
            </w:r>
            <w:r w:rsidRPr="003E2964">
              <w:rPr>
                <w:rFonts w:ascii="Times New Roman" w:eastAsia="標楷體" w:hAnsi="Times New Roman"/>
                <w:sz w:val="28"/>
                <w:szCs w:val="28"/>
              </w:rPr>
              <w:t>UHPC</w:t>
            </w:r>
            <w:r w:rsidRPr="003E2964">
              <w:rPr>
                <w:rFonts w:ascii="Times New Roman" w:eastAsia="標楷體" w:hAnsi="Times New Roman"/>
                <w:sz w:val="28"/>
                <w:szCs w:val="28"/>
              </w:rPr>
              <w:t>加強抗炸性及降低混凝土厚度之表現。最後將建</w:t>
            </w:r>
            <w:r w:rsidR="00A325FA" w:rsidRPr="003E2964">
              <w:rPr>
                <w:rFonts w:ascii="Times New Roman" w:eastAsia="標楷體" w:hAnsi="Times New Roman"/>
                <w:sz w:val="28"/>
                <w:szCs w:val="28"/>
              </w:rPr>
              <w:t>立</w:t>
            </w:r>
            <w:r w:rsidRPr="003E2964">
              <w:rPr>
                <w:rFonts w:ascii="Times New Roman" w:eastAsia="標楷體" w:hAnsi="Times New Roman"/>
                <w:sz w:val="28"/>
                <w:szCs w:val="28"/>
              </w:rPr>
              <w:t>UHPC</w:t>
            </w:r>
            <w:r w:rsidRPr="003E2964">
              <w:rPr>
                <w:rFonts w:ascii="Times New Roman" w:eastAsia="標楷體" w:hAnsi="Times New Roman"/>
                <w:sz w:val="28"/>
                <w:szCs w:val="28"/>
              </w:rPr>
              <w:t>抗炸機庫堡設計方法</w:t>
            </w:r>
            <w:r w:rsidR="00A325FA" w:rsidRPr="003E2964">
              <w:rPr>
                <w:rFonts w:ascii="Times New Roman" w:eastAsia="標楷體" w:hAnsi="Times New Roman"/>
                <w:sz w:val="28"/>
                <w:szCs w:val="28"/>
              </w:rPr>
              <w:t>與流程</w:t>
            </w:r>
            <w:r w:rsidRPr="003E2964">
              <w:rPr>
                <w:rFonts w:ascii="Times New Roman" w:eastAsia="標楷體" w:hAnsi="Times New Roman"/>
                <w:sz w:val="28"/>
                <w:szCs w:val="28"/>
              </w:rPr>
              <w:t>。所研究議題主要如下：</w:t>
            </w:r>
          </w:p>
          <w:p w14:paraId="19002607" w14:textId="228DCEC2" w:rsidR="00EB433A" w:rsidRPr="003E2964" w:rsidRDefault="00083038" w:rsidP="009F424D">
            <w:pPr>
              <w:pStyle w:val="a8"/>
              <w:numPr>
                <w:ilvl w:val="0"/>
                <w:numId w:val="14"/>
              </w:numPr>
              <w:snapToGrid w:val="0"/>
              <w:ind w:leftChars="96" w:left="1001" w:hangingChars="289" w:hanging="809"/>
              <w:jc w:val="both"/>
              <w:rPr>
                <w:rFonts w:ascii="Times New Roman" w:eastAsia="標楷體" w:hAnsi="Times New Roman"/>
                <w:sz w:val="28"/>
                <w:szCs w:val="28"/>
              </w:rPr>
            </w:pPr>
            <w:r w:rsidRPr="003E2964">
              <w:rPr>
                <w:rFonts w:ascii="Times New Roman" w:eastAsia="標楷體" w:hAnsi="Times New Roman"/>
                <w:sz w:val="28"/>
                <w:szCs w:val="28"/>
              </w:rPr>
              <w:t>進行參數研究，</w:t>
            </w:r>
            <w:r w:rsidR="00EB433A" w:rsidRPr="003E2964">
              <w:rPr>
                <w:rFonts w:ascii="Times New Roman" w:eastAsia="標楷體" w:hAnsi="Times New Roman"/>
                <w:sz w:val="28"/>
                <w:szCs w:val="28"/>
              </w:rPr>
              <w:t>分析</w:t>
            </w:r>
            <w:r w:rsidRPr="003E2964">
              <w:rPr>
                <w:rFonts w:ascii="Times New Roman" w:eastAsia="標楷體" w:hAnsi="Times New Roman"/>
                <w:sz w:val="28"/>
                <w:szCs w:val="28"/>
              </w:rPr>
              <w:t>並</w:t>
            </w:r>
            <w:r w:rsidR="00EB433A" w:rsidRPr="003E2964">
              <w:rPr>
                <w:rFonts w:ascii="Times New Roman" w:eastAsia="標楷體" w:hAnsi="Times New Roman"/>
                <w:sz w:val="28"/>
                <w:szCs w:val="28"/>
              </w:rPr>
              <w:t>建立</w:t>
            </w:r>
            <w:r w:rsidRPr="003E2964">
              <w:rPr>
                <w:rFonts w:ascii="Times New Roman" w:eastAsia="標楷體" w:hAnsi="Times New Roman"/>
                <w:sz w:val="28"/>
                <w:szCs w:val="28"/>
              </w:rPr>
              <w:t>不同</w:t>
            </w:r>
            <w:r w:rsidRPr="003E2964">
              <w:rPr>
                <w:rFonts w:ascii="Times New Roman" w:eastAsia="標楷體" w:hAnsi="Times New Roman"/>
                <w:sz w:val="28"/>
                <w:szCs w:val="28"/>
              </w:rPr>
              <w:t>UHPC</w:t>
            </w:r>
            <w:r w:rsidR="00917825" w:rsidRPr="003E2964">
              <w:rPr>
                <w:rFonts w:ascii="Times New Roman" w:eastAsia="標楷體" w:hAnsi="Times New Roman"/>
                <w:sz w:val="28"/>
                <w:szCs w:val="28"/>
              </w:rPr>
              <w:t>厚度與爆炸</w:t>
            </w:r>
            <w:r w:rsidRPr="003E2964">
              <w:rPr>
                <w:rFonts w:ascii="Times New Roman" w:eastAsia="標楷體" w:hAnsi="Times New Roman"/>
                <w:sz w:val="28"/>
                <w:szCs w:val="28"/>
              </w:rPr>
              <w:t>、受衝擊</w:t>
            </w:r>
            <w:r w:rsidR="00917825" w:rsidRPr="003E2964">
              <w:rPr>
                <w:rFonts w:ascii="Times New Roman" w:eastAsia="標楷體" w:hAnsi="Times New Roman"/>
                <w:sz w:val="28"/>
                <w:szCs w:val="28"/>
              </w:rPr>
              <w:t>之</w:t>
            </w:r>
            <w:r w:rsidRPr="003E2964">
              <w:rPr>
                <w:rFonts w:ascii="Times New Roman" w:eastAsia="標楷體" w:hAnsi="Times New Roman"/>
                <w:sz w:val="28"/>
                <w:szCs w:val="28"/>
              </w:rPr>
              <w:t>行為</w:t>
            </w:r>
            <w:r w:rsidR="00917825" w:rsidRPr="003E2964">
              <w:rPr>
                <w:rFonts w:ascii="Times New Roman" w:eastAsia="標楷體" w:hAnsi="Times New Roman"/>
                <w:sz w:val="28"/>
                <w:szCs w:val="28"/>
              </w:rPr>
              <w:t>關係</w:t>
            </w:r>
            <w:r w:rsidRPr="003E2964">
              <w:rPr>
                <w:rFonts w:ascii="Times New Roman" w:eastAsia="標楷體" w:hAnsi="Times New Roman"/>
                <w:sz w:val="28"/>
                <w:szCs w:val="28"/>
              </w:rPr>
              <w:t>與成效。</w:t>
            </w:r>
          </w:p>
          <w:p w14:paraId="514A9218" w14:textId="200B78B9" w:rsidR="00083038" w:rsidRPr="003E2964" w:rsidRDefault="00A325FA" w:rsidP="009F424D">
            <w:pPr>
              <w:pStyle w:val="a8"/>
              <w:numPr>
                <w:ilvl w:val="0"/>
                <w:numId w:val="14"/>
              </w:numPr>
              <w:snapToGrid w:val="0"/>
              <w:ind w:leftChars="96" w:left="1001" w:hangingChars="289" w:hanging="809"/>
              <w:jc w:val="both"/>
              <w:rPr>
                <w:rFonts w:ascii="Times New Roman" w:eastAsia="標楷體" w:hAnsi="Times New Roman"/>
                <w:sz w:val="28"/>
                <w:szCs w:val="28"/>
              </w:rPr>
            </w:pPr>
            <w:r w:rsidRPr="003E2964">
              <w:rPr>
                <w:rFonts w:ascii="Times New Roman" w:eastAsia="標楷體" w:hAnsi="Times New Roman"/>
                <w:sz w:val="28"/>
                <w:szCs w:val="28"/>
              </w:rPr>
              <w:t>根據</w:t>
            </w:r>
            <w:r w:rsidR="00CB383E" w:rsidRPr="003E2964">
              <w:rPr>
                <w:rFonts w:ascii="Times New Roman" w:eastAsia="標楷體" w:hAnsi="Times New Roman"/>
                <w:sz w:val="28"/>
                <w:szCs w:val="28"/>
              </w:rPr>
              <w:t>分析結果，</w:t>
            </w:r>
            <w:r w:rsidR="00083038" w:rsidRPr="003E2964">
              <w:rPr>
                <w:rFonts w:ascii="Times New Roman" w:eastAsia="標楷體" w:hAnsi="Times New Roman"/>
                <w:sz w:val="28"/>
                <w:szCs w:val="28"/>
              </w:rPr>
              <w:t>建</w:t>
            </w:r>
            <w:r w:rsidRPr="003E2964">
              <w:rPr>
                <w:rFonts w:ascii="Times New Roman" w:eastAsia="標楷體" w:hAnsi="Times New Roman"/>
                <w:sz w:val="28"/>
                <w:szCs w:val="28"/>
              </w:rPr>
              <w:t>立</w:t>
            </w:r>
            <w:r w:rsidR="00083038" w:rsidRPr="003E2964">
              <w:rPr>
                <w:rFonts w:ascii="Times New Roman" w:eastAsia="標楷體" w:hAnsi="Times New Roman"/>
                <w:sz w:val="28"/>
                <w:szCs w:val="28"/>
              </w:rPr>
              <w:t>UHPC</w:t>
            </w:r>
            <w:r w:rsidR="00083038" w:rsidRPr="003E2964">
              <w:rPr>
                <w:rFonts w:ascii="Times New Roman" w:eastAsia="標楷體" w:hAnsi="Times New Roman"/>
                <w:sz w:val="28"/>
                <w:szCs w:val="28"/>
              </w:rPr>
              <w:t>抗炸機庫堡設計方法</w:t>
            </w:r>
            <w:r w:rsidRPr="003E2964">
              <w:rPr>
                <w:rFonts w:ascii="Times New Roman" w:eastAsia="標楷體" w:hAnsi="Times New Roman"/>
                <w:sz w:val="28"/>
                <w:szCs w:val="28"/>
              </w:rPr>
              <w:t>與流程</w:t>
            </w:r>
            <w:r w:rsidR="00CB383E" w:rsidRPr="003E2964">
              <w:rPr>
                <w:rFonts w:ascii="Times New Roman" w:eastAsia="標楷體" w:hAnsi="Times New Roman"/>
                <w:sz w:val="28"/>
                <w:szCs w:val="28"/>
              </w:rPr>
              <w:t>。</w:t>
            </w:r>
          </w:p>
        </w:tc>
      </w:tr>
      <w:tr w:rsidR="006815EF" w:rsidRPr="003E2964" w14:paraId="588480F5" w14:textId="77777777" w:rsidTr="0000516B">
        <w:trPr>
          <w:trHeight w:val="1302"/>
          <w:jc w:val="center"/>
        </w:trPr>
        <w:tc>
          <w:tcPr>
            <w:tcW w:w="805" w:type="dxa"/>
            <w:tcBorders>
              <w:top w:val="single" w:sz="4" w:space="0" w:color="000000"/>
              <w:left w:val="single" w:sz="4" w:space="0" w:color="000000"/>
              <w:bottom w:val="single" w:sz="4" w:space="0" w:color="000000"/>
            </w:tcBorders>
            <w:vAlign w:val="center"/>
          </w:tcPr>
          <w:p w14:paraId="3235B66A" w14:textId="54FA82F2" w:rsidR="006815EF" w:rsidRPr="003E2964" w:rsidRDefault="000F2D0A" w:rsidP="00511E3B">
            <w:pPr>
              <w:snapToGrid w:val="0"/>
              <w:jc w:val="center"/>
              <w:rPr>
                <w:rFonts w:eastAsia="標楷體"/>
                <w:sz w:val="28"/>
                <w:szCs w:val="28"/>
              </w:rPr>
            </w:pPr>
            <w:r w:rsidRPr="003E2964">
              <w:rPr>
                <w:rFonts w:eastAsia="標楷體"/>
                <w:sz w:val="28"/>
                <w:szCs w:val="28"/>
              </w:rPr>
              <w:lastRenderedPageBreak/>
              <w:t>三</w:t>
            </w:r>
          </w:p>
        </w:tc>
        <w:tc>
          <w:tcPr>
            <w:tcW w:w="851" w:type="dxa"/>
            <w:tcBorders>
              <w:top w:val="single" w:sz="4" w:space="0" w:color="000000"/>
              <w:left w:val="single" w:sz="4" w:space="0" w:color="000000"/>
              <w:bottom w:val="single" w:sz="4" w:space="0" w:color="000000"/>
            </w:tcBorders>
            <w:vAlign w:val="center"/>
          </w:tcPr>
          <w:p w14:paraId="51A3C238" w14:textId="77777777" w:rsidR="006815EF" w:rsidRPr="003E2964" w:rsidRDefault="006815EF" w:rsidP="00511E3B">
            <w:pPr>
              <w:snapToGrid w:val="0"/>
              <w:jc w:val="center"/>
              <w:rPr>
                <w:rFonts w:eastAsia="標楷體"/>
                <w:sz w:val="28"/>
                <w:szCs w:val="28"/>
              </w:rPr>
            </w:pPr>
            <w:r w:rsidRPr="003E2964">
              <w:rPr>
                <w:rFonts w:eastAsia="標楷體"/>
                <w:sz w:val="28"/>
                <w:szCs w:val="28"/>
              </w:rPr>
              <w:t>運用構想</w:t>
            </w:r>
          </w:p>
        </w:tc>
        <w:tc>
          <w:tcPr>
            <w:tcW w:w="8647" w:type="dxa"/>
            <w:gridSpan w:val="2"/>
            <w:tcBorders>
              <w:top w:val="single" w:sz="4" w:space="0" w:color="000000"/>
              <w:left w:val="single" w:sz="4" w:space="0" w:color="000000"/>
              <w:bottom w:val="single" w:sz="4" w:space="0" w:color="000000"/>
              <w:right w:val="single" w:sz="4" w:space="0" w:color="000000"/>
            </w:tcBorders>
            <w:vAlign w:val="center"/>
          </w:tcPr>
          <w:p w14:paraId="3BFF7C8C" w14:textId="741A153D" w:rsidR="009F424D" w:rsidRPr="003E2964" w:rsidRDefault="009F424D" w:rsidP="00D43D90">
            <w:pPr>
              <w:pStyle w:val="a8"/>
              <w:numPr>
                <w:ilvl w:val="0"/>
                <w:numId w:val="6"/>
              </w:numPr>
              <w:snapToGrid w:val="0"/>
              <w:ind w:leftChars="0"/>
              <w:jc w:val="both"/>
              <w:rPr>
                <w:rFonts w:ascii="Times New Roman" w:eastAsia="標楷體" w:hAnsi="Times New Roman"/>
                <w:sz w:val="28"/>
                <w:szCs w:val="28"/>
              </w:rPr>
            </w:pPr>
            <w:r w:rsidRPr="003E2964">
              <w:rPr>
                <w:rFonts w:ascii="Times New Roman" w:eastAsia="標楷體" w:hAnsi="Times New Roman"/>
                <w:sz w:val="28"/>
                <w:szCs w:val="28"/>
              </w:rPr>
              <w:t>於抗炸機庫堡與防護設施之設計參考依據。</w:t>
            </w:r>
          </w:p>
          <w:p w14:paraId="5359E784" w14:textId="77777777" w:rsidR="009F424D" w:rsidRPr="003E2964" w:rsidRDefault="009F424D" w:rsidP="009F424D">
            <w:pPr>
              <w:pStyle w:val="a8"/>
              <w:numPr>
                <w:ilvl w:val="0"/>
                <w:numId w:val="6"/>
              </w:numPr>
              <w:snapToGrid w:val="0"/>
              <w:ind w:leftChars="0" w:left="625" w:hanging="625"/>
              <w:jc w:val="both"/>
              <w:rPr>
                <w:rFonts w:ascii="Times New Roman" w:eastAsia="標楷體" w:hAnsi="Times New Roman"/>
                <w:sz w:val="28"/>
                <w:szCs w:val="28"/>
              </w:rPr>
            </w:pPr>
            <w:r w:rsidRPr="003E2964">
              <w:rPr>
                <w:rFonts w:ascii="Times New Roman" w:eastAsia="標楷體" w:hAnsi="Times New Roman"/>
                <w:sz w:val="28"/>
                <w:szCs w:val="28"/>
              </w:rPr>
              <w:t>用於機場跑道、重機具平臺，可承受重載與衝擊，同時具抗爆衝擊吸能能力</w:t>
            </w:r>
            <w:r w:rsidRPr="003E2964">
              <w:rPr>
                <w:rFonts w:ascii="Times New Roman" w:eastAsia="標楷體" w:hAnsi="Times New Roman"/>
                <w:sz w:val="28"/>
                <w:szCs w:val="28"/>
              </w:rPr>
              <w:t>-</w:t>
            </w:r>
            <w:r w:rsidRPr="003E2964">
              <w:rPr>
                <w:rFonts w:ascii="Times New Roman" w:eastAsia="標楷體" w:hAnsi="Times New Roman"/>
                <w:sz w:val="28"/>
                <w:szCs w:val="28"/>
              </w:rPr>
              <w:t>運用構想。</w:t>
            </w:r>
          </w:p>
          <w:p w14:paraId="3B1398EE" w14:textId="77777777" w:rsidR="009F424D" w:rsidRPr="003E2964" w:rsidRDefault="009F424D" w:rsidP="009F424D">
            <w:pPr>
              <w:pStyle w:val="a8"/>
              <w:numPr>
                <w:ilvl w:val="0"/>
                <w:numId w:val="6"/>
              </w:numPr>
              <w:snapToGrid w:val="0"/>
              <w:ind w:leftChars="0" w:left="625" w:hanging="625"/>
              <w:jc w:val="both"/>
              <w:rPr>
                <w:rFonts w:ascii="Times New Roman" w:eastAsia="標楷體" w:hAnsi="Times New Roman"/>
                <w:sz w:val="28"/>
                <w:szCs w:val="28"/>
              </w:rPr>
            </w:pPr>
            <w:r w:rsidRPr="003E2964">
              <w:rPr>
                <w:rFonts w:ascii="Times New Roman" w:eastAsia="標楷體" w:hAnsi="Times New Roman"/>
                <w:sz w:val="28"/>
                <w:szCs w:val="28"/>
              </w:rPr>
              <w:t>模組化複合防爆牆體，降低材料用量、減輕構件重量並同時提供足夠防護強度，應用於臨時防護設施、戰時緊急部署。</w:t>
            </w:r>
          </w:p>
          <w:p w14:paraId="79DEC477" w14:textId="77777777" w:rsidR="009F424D" w:rsidRPr="003E2964" w:rsidRDefault="009F424D" w:rsidP="009F424D">
            <w:pPr>
              <w:pStyle w:val="a8"/>
              <w:numPr>
                <w:ilvl w:val="0"/>
                <w:numId w:val="6"/>
              </w:numPr>
              <w:snapToGrid w:val="0"/>
              <w:ind w:leftChars="0" w:left="625" w:hanging="625"/>
              <w:jc w:val="both"/>
              <w:rPr>
                <w:rFonts w:ascii="Times New Roman" w:eastAsia="標楷體" w:hAnsi="Times New Roman"/>
                <w:sz w:val="28"/>
                <w:szCs w:val="28"/>
              </w:rPr>
            </w:pPr>
            <w:r w:rsidRPr="003E2964">
              <w:rPr>
                <w:rFonts w:ascii="Times New Roman" w:eastAsia="標楷體" w:hAnsi="Times New Roman"/>
                <w:sz w:val="28"/>
                <w:szCs w:val="28"/>
              </w:rPr>
              <w:t>熟悉</w:t>
            </w:r>
            <w:r w:rsidRPr="003E2964">
              <w:rPr>
                <w:rFonts w:ascii="Times New Roman" w:eastAsia="標楷體" w:hAnsi="Times New Roman"/>
                <w:sz w:val="28"/>
                <w:szCs w:val="28"/>
              </w:rPr>
              <w:t>UHPC</w:t>
            </w:r>
            <w:r w:rsidRPr="003E2964">
              <w:rPr>
                <w:rFonts w:ascii="Times New Roman" w:eastAsia="標楷體" w:hAnsi="Times New Roman"/>
                <w:sz w:val="28"/>
                <w:szCs w:val="28"/>
              </w:rPr>
              <w:t>構件強度，確認材料特性，以運用於防護設施結構。</w:t>
            </w:r>
          </w:p>
          <w:p w14:paraId="125EC3A6" w14:textId="40DBFACA" w:rsidR="001D3776" w:rsidRPr="003E2964" w:rsidRDefault="009565C1" w:rsidP="003E2964">
            <w:pPr>
              <w:pStyle w:val="a8"/>
              <w:numPr>
                <w:ilvl w:val="0"/>
                <w:numId w:val="6"/>
              </w:numPr>
              <w:snapToGrid w:val="0"/>
              <w:ind w:leftChars="0"/>
              <w:rPr>
                <w:rFonts w:eastAsia="標楷體"/>
                <w:sz w:val="28"/>
                <w:szCs w:val="28"/>
              </w:rPr>
            </w:pPr>
            <w:r w:rsidRPr="003E2964">
              <w:rPr>
                <w:rFonts w:eastAsia="標楷體"/>
                <w:color w:val="000000" w:themeColor="text1"/>
                <w:sz w:val="28"/>
                <w:szCs w:val="28"/>
              </w:rPr>
              <w:t>配合</w:t>
            </w:r>
            <w:r w:rsidR="004630DB" w:rsidRPr="003E2964">
              <w:rPr>
                <w:rFonts w:eastAsia="標楷體"/>
                <w:color w:val="000000" w:themeColor="text1"/>
                <w:sz w:val="28"/>
                <w:szCs w:val="28"/>
              </w:rPr>
              <w:t>建</w:t>
            </w:r>
            <w:r w:rsidR="003E2964" w:rsidRPr="003E2964">
              <w:rPr>
                <w:rFonts w:ascii="標楷體" w:eastAsia="標楷體" w:hAnsi="標楷體" w:hint="eastAsia"/>
                <w:color w:val="000000" w:themeColor="text1"/>
                <w:sz w:val="28"/>
                <w:szCs w:val="28"/>
              </w:rPr>
              <w:t>○○</w:t>
            </w:r>
            <w:r w:rsidR="00B5004E" w:rsidRPr="003E2964">
              <w:rPr>
                <w:rFonts w:eastAsia="標楷體"/>
                <w:color w:val="000000" w:themeColor="text1"/>
                <w:sz w:val="28"/>
                <w:szCs w:val="28"/>
              </w:rPr>
              <w:t>、</w:t>
            </w:r>
            <w:r w:rsidR="003E2964" w:rsidRPr="003E2964">
              <w:rPr>
                <w:rFonts w:ascii="標楷體" w:eastAsia="標楷體" w:hAnsi="標楷體" w:hint="eastAsia"/>
                <w:color w:val="000000" w:themeColor="text1"/>
                <w:sz w:val="28"/>
                <w:szCs w:val="28"/>
              </w:rPr>
              <w:t>○</w:t>
            </w:r>
            <w:r w:rsidR="00B5004E" w:rsidRPr="003E2964">
              <w:rPr>
                <w:rFonts w:eastAsia="標楷體"/>
                <w:color w:val="000000" w:themeColor="text1"/>
                <w:sz w:val="28"/>
                <w:szCs w:val="28"/>
              </w:rPr>
              <w:t>號等</w:t>
            </w:r>
            <w:r w:rsidR="004630DB" w:rsidRPr="003E2964">
              <w:rPr>
                <w:rFonts w:eastAsia="標楷體"/>
                <w:color w:val="000000" w:themeColor="text1"/>
                <w:sz w:val="28"/>
                <w:szCs w:val="28"/>
              </w:rPr>
              <w:t>建</w:t>
            </w:r>
            <w:r w:rsidR="009F424D" w:rsidRPr="003E2964">
              <w:rPr>
                <w:rFonts w:eastAsia="標楷體"/>
                <w:color w:val="000000" w:themeColor="text1"/>
                <w:sz w:val="28"/>
                <w:szCs w:val="28"/>
              </w:rPr>
              <w:t>案，將</w:t>
            </w:r>
            <w:r w:rsidR="009F424D" w:rsidRPr="003E2964">
              <w:rPr>
                <w:rFonts w:eastAsia="標楷體"/>
                <w:color w:val="000000" w:themeColor="text1"/>
                <w:sz w:val="28"/>
                <w:szCs w:val="28"/>
              </w:rPr>
              <w:t>UHPC</w:t>
            </w:r>
            <w:r w:rsidR="009F424D" w:rsidRPr="003E2964">
              <w:rPr>
                <w:rFonts w:eastAsia="標楷體"/>
                <w:color w:val="000000" w:themeColor="text1"/>
                <w:sz w:val="28"/>
                <w:szCs w:val="28"/>
              </w:rPr>
              <w:t>材料應用抗炸機庫設計，以</w:t>
            </w:r>
            <w:r w:rsidR="009F424D" w:rsidRPr="003E2964">
              <w:rPr>
                <w:rFonts w:eastAsia="標楷體"/>
                <w:sz w:val="28"/>
                <w:szCs w:val="28"/>
              </w:rPr>
              <w:t>增強</w:t>
            </w:r>
            <w:r w:rsidR="009F424D" w:rsidRPr="003E2964">
              <w:rPr>
                <w:rFonts w:eastAsia="標楷體"/>
                <w:color w:val="000000" w:themeColor="text1"/>
                <w:sz w:val="28"/>
                <w:szCs w:val="28"/>
              </w:rPr>
              <w:t>防護效果。</w:t>
            </w:r>
          </w:p>
        </w:tc>
      </w:tr>
      <w:tr w:rsidR="006815EF" w:rsidRPr="003E2964" w14:paraId="3C5B8413" w14:textId="77777777" w:rsidTr="007915F2">
        <w:trPr>
          <w:trHeight w:val="9037"/>
          <w:jc w:val="center"/>
        </w:trPr>
        <w:tc>
          <w:tcPr>
            <w:tcW w:w="805" w:type="dxa"/>
            <w:tcBorders>
              <w:top w:val="single" w:sz="4" w:space="0" w:color="000000"/>
              <w:left w:val="single" w:sz="4" w:space="0" w:color="000000"/>
              <w:bottom w:val="single" w:sz="4" w:space="0" w:color="000000"/>
            </w:tcBorders>
            <w:vAlign w:val="center"/>
          </w:tcPr>
          <w:p w14:paraId="3E89D38E" w14:textId="06ED3442" w:rsidR="006815EF" w:rsidRPr="003E2964" w:rsidRDefault="000F2D0A" w:rsidP="00511E3B">
            <w:pPr>
              <w:snapToGrid w:val="0"/>
              <w:jc w:val="center"/>
              <w:rPr>
                <w:rFonts w:eastAsia="標楷體"/>
                <w:sz w:val="28"/>
                <w:szCs w:val="28"/>
              </w:rPr>
            </w:pPr>
            <w:r w:rsidRPr="003E2964">
              <w:rPr>
                <w:rFonts w:eastAsia="標楷體"/>
                <w:sz w:val="28"/>
                <w:szCs w:val="28"/>
              </w:rPr>
              <w:t>四</w:t>
            </w:r>
          </w:p>
        </w:tc>
        <w:tc>
          <w:tcPr>
            <w:tcW w:w="851" w:type="dxa"/>
            <w:tcBorders>
              <w:top w:val="single" w:sz="4" w:space="0" w:color="000000"/>
              <w:left w:val="single" w:sz="4" w:space="0" w:color="000000"/>
              <w:bottom w:val="single" w:sz="4" w:space="0" w:color="000000"/>
            </w:tcBorders>
            <w:vAlign w:val="center"/>
          </w:tcPr>
          <w:p w14:paraId="4885BD09" w14:textId="77777777" w:rsidR="006815EF" w:rsidRPr="003E2964" w:rsidRDefault="006815EF" w:rsidP="00511E3B">
            <w:pPr>
              <w:snapToGrid w:val="0"/>
              <w:jc w:val="center"/>
              <w:rPr>
                <w:rFonts w:eastAsia="標楷體"/>
                <w:sz w:val="28"/>
                <w:szCs w:val="28"/>
              </w:rPr>
            </w:pPr>
            <w:r w:rsidRPr="003E2964">
              <w:rPr>
                <w:rFonts w:eastAsia="標楷體"/>
                <w:sz w:val="28"/>
                <w:szCs w:val="28"/>
              </w:rPr>
              <w:t>預期成果</w:t>
            </w:r>
          </w:p>
        </w:tc>
        <w:tc>
          <w:tcPr>
            <w:tcW w:w="8647" w:type="dxa"/>
            <w:gridSpan w:val="2"/>
            <w:tcBorders>
              <w:top w:val="single" w:sz="4" w:space="0" w:color="000000"/>
              <w:left w:val="single" w:sz="4" w:space="0" w:color="000000"/>
              <w:bottom w:val="single" w:sz="4" w:space="0" w:color="000000"/>
              <w:right w:val="single" w:sz="4" w:space="0" w:color="000000"/>
            </w:tcBorders>
          </w:tcPr>
          <w:p w14:paraId="4385D0DB" w14:textId="06E4C393" w:rsidR="00757FC7" w:rsidRPr="003E2964" w:rsidRDefault="00757FC7" w:rsidP="00A040CA">
            <w:pPr>
              <w:tabs>
                <w:tab w:val="left" w:pos="5057"/>
              </w:tabs>
              <w:snapToGrid w:val="0"/>
              <w:spacing w:line="240" w:lineRule="auto"/>
              <w:rPr>
                <w:rFonts w:eastAsia="標楷體"/>
                <w:sz w:val="28"/>
                <w:szCs w:val="28"/>
              </w:rPr>
            </w:pPr>
            <w:r w:rsidRPr="003E2964">
              <w:rPr>
                <w:rFonts w:eastAsia="標楷體"/>
                <w:sz w:val="28"/>
                <w:szCs w:val="28"/>
              </w:rPr>
              <w:t>本計畫預計完成超高性能混凝土</w:t>
            </w:r>
            <w:r w:rsidRPr="003E2964">
              <w:rPr>
                <w:rFonts w:eastAsia="標楷體"/>
                <w:sz w:val="28"/>
                <w:szCs w:val="28"/>
              </w:rPr>
              <w:t>UHPC</w:t>
            </w:r>
            <w:r w:rsidR="004E3964" w:rsidRPr="003E2964">
              <w:rPr>
                <w:rFonts w:eastAsia="標楷體"/>
                <w:sz w:val="28"/>
                <w:szCs w:val="28"/>
              </w:rPr>
              <w:t>及其所組成之複合構件</w:t>
            </w:r>
            <w:r w:rsidRPr="003E2964">
              <w:rPr>
                <w:rFonts w:eastAsia="標楷體"/>
                <w:sz w:val="28"/>
                <w:szCs w:val="28"/>
              </w:rPr>
              <w:t>受爆炸荷載作用下之有限元素</w:t>
            </w:r>
            <w:r w:rsidR="00CA5E65" w:rsidRPr="003E2964">
              <w:rPr>
                <w:rFonts w:eastAsia="標楷體"/>
                <w:sz w:val="28"/>
                <w:szCs w:val="28"/>
              </w:rPr>
              <w:t>法</w:t>
            </w:r>
            <w:r w:rsidRPr="003E2964">
              <w:rPr>
                <w:rFonts w:eastAsia="標楷體"/>
                <w:sz w:val="28"/>
                <w:szCs w:val="28"/>
              </w:rPr>
              <w:t>分析</w:t>
            </w:r>
            <w:r w:rsidR="0040278E" w:rsidRPr="003E2964">
              <w:rPr>
                <w:rFonts w:eastAsia="標楷體"/>
                <w:sz w:val="28"/>
                <w:szCs w:val="28"/>
              </w:rPr>
              <w:t>，</w:t>
            </w:r>
            <w:r w:rsidR="00B71013" w:rsidRPr="003E2964">
              <w:rPr>
                <w:rFonts w:eastAsia="標楷體"/>
                <w:sz w:val="28"/>
                <w:szCs w:val="28"/>
              </w:rPr>
              <w:t>並建立設計方法與流程，成果將</w:t>
            </w:r>
            <w:r w:rsidR="00B11475" w:rsidRPr="003E2964">
              <w:rPr>
                <w:rFonts w:eastAsia="標楷體"/>
                <w:sz w:val="28"/>
                <w:szCs w:val="28"/>
              </w:rPr>
              <w:t>成</w:t>
            </w:r>
            <w:r w:rsidR="00B71013" w:rsidRPr="003E2964">
              <w:rPr>
                <w:rFonts w:eastAsia="標楷體"/>
                <w:sz w:val="28"/>
                <w:szCs w:val="28"/>
              </w:rPr>
              <w:t>為本國現代化高性能</w:t>
            </w:r>
            <w:r w:rsidR="00CA5E65" w:rsidRPr="003E2964">
              <w:rPr>
                <w:rFonts w:eastAsia="標楷體"/>
                <w:sz w:val="28"/>
                <w:szCs w:val="28"/>
              </w:rPr>
              <w:t>抗炸機庫堡之設計技術</w:t>
            </w:r>
            <w:r w:rsidR="00B71013" w:rsidRPr="003E2964">
              <w:rPr>
                <w:rFonts w:eastAsia="標楷體"/>
                <w:sz w:val="28"/>
                <w:szCs w:val="28"/>
              </w:rPr>
              <w:t>之重要基礎。</w:t>
            </w:r>
            <w:r w:rsidR="00CA5E65" w:rsidRPr="003E2964">
              <w:rPr>
                <w:rFonts w:eastAsia="標楷體"/>
                <w:sz w:val="28"/>
                <w:szCs w:val="28"/>
              </w:rPr>
              <w:t>可獲得之預期成果與後續應用如下：</w:t>
            </w:r>
          </w:p>
          <w:p w14:paraId="15142291" w14:textId="52450211" w:rsidR="00CA5E65" w:rsidRPr="003E2964" w:rsidRDefault="00615136" w:rsidP="00A040CA">
            <w:pPr>
              <w:tabs>
                <w:tab w:val="left" w:pos="5057"/>
              </w:tabs>
              <w:snapToGrid w:val="0"/>
              <w:spacing w:line="240" w:lineRule="auto"/>
              <w:rPr>
                <w:rFonts w:eastAsia="標楷體"/>
                <w:bCs/>
                <w:sz w:val="28"/>
                <w:szCs w:val="28"/>
              </w:rPr>
            </w:pPr>
            <w:r w:rsidRPr="003E2964">
              <w:rPr>
                <w:rFonts w:eastAsia="標楷體"/>
                <w:b/>
                <w:bCs/>
                <w:sz w:val="28"/>
                <w:szCs w:val="28"/>
              </w:rPr>
              <w:t>一</w:t>
            </w:r>
            <w:r w:rsidRPr="003E2964">
              <w:rPr>
                <w:rFonts w:eastAsia="標楷體"/>
                <w:bCs/>
                <w:sz w:val="28"/>
                <w:szCs w:val="28"/>
              </w:rPr>
              <w:t>、</w:t>
            </w:r>
            <w:r w:rsidR="00CA5E65" w:rsidRPr="003E2964">
              <w:rPr>
                <w:rFonts w:eastAsia="標楷體"/>
                <w:bCs/>
                <w:sz w:val="28"/>
                <w:szCs w:val="28"/>
              </w:rPr>
              <w:t>主要研究成果：</w:t>
            </w:r>
          </w:p>
          <w:p w14:paraId="6CBDDBBC" w14:textId="15118917" w:rsidR="006743C9"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（一）</w:t>
            </w:r>
            <w:r w:rsidR="007202EB" w:rsidRPr="003E2964">
              <w:rPr>
                <w:rFonts w:eastAsia="標楷體"/>
                <w:sz w:val="28"/>
                <w:szCs w:val="28"/>
              </w:rPr>
              <w:t>建立可描述</w:t>
            </w:r>
            <w:r w:rsidR="00D85C7B" w:rsidRPr="003E2964">
              <w:rPr>
                <w:rFonts w:eastAsia="標楷體"/>
                <w:sz w:val="28"/>
                <w:szCs w:val="28"/>
              </w:rPr>
              <w:t>爆炸與衝擊</w:t>
            </w:r>
            <w:r w:rsidR="007202EB" w:rsidRPr="003E2964">
              <w:rPr>
                <w:rFonts w:eastAsia="標楷體"/>
                <w:sz w:val="28"/>
                <w:szCs w:val="28"/>
              </w:rPr>
              <w:t>行為之</w:t>
            </w:r>
            <w:r w:rsidR="008446A4" w:rsidRPr="003E2964">
              <w:rPr>
                <w:rFonts w:eastAsia="標楷體"/>
                <w:sz w:val="28"/>
                <w:szCs w:val="28"/>
              </w:rPr>
              <w:t>各項</w:t>
            </w:r>
            <w:r w:rsidR="007202EB" w:rsidRPr="003E2964">
              <w:rPr>
                <w:rFonts w:eastAsia="標楷體"/>
                <w:sz w:val="28"/>
                <w:szCs w:val="28"/>
              </w:rPr>
              <w:t>材料</w:t>
            </w:r>
            <w:r w:rsidR="004B7635" w:rsidRPr="003E2964">
              <w:rPr>
                <w:rFonts w:eastAsia="標楷體"/>
                <w:sz w:val="28"/>
                <w:szCs w:val="28"/>
              </w:rPr>
              <w:t>組成</w:t>
            </w:r>
            <w:r w:rsidR="00B11475" w:rsidRPr="003E2964">
              <w:rPr>
                <w:rFonts w:eastAsia="標楷體"/>
                <w:sz w:val="28"/>
                <w:szCs w:val="28"/>
              </w:rPr>
              <w:t>律</w:t>
            </w:r>
            <w:r w:rsidR="008446A4" w:rsidRPr="003E2964">
              <w:rPr>
                <w:rFonts w:eastAsia="標楷體"/>
                <w:sz w:val="28"/>
                <w:szCs w:val="28"/>
              </w:rPr>
              <w:t>，包含</w:t>
            </w:r>
            <w:r w:rsidR="008446A4" w:rsidRPr="003E2964">
              <w:rPr>
                <w:rFonts w:eastAsia="標楷體"/>
                <w:sz w:val="28"/>
                <w:szCs w:val="28"/>
              </w:rPr>
              <w:t>UHPC</w:t>
            </w:r>
            <w:r w:rsidR="008446A4" w:rsidRPr="003E2964">
              <w:rPr>
                <w:rFonts w:eastAsia="標楷體"/>
                <w:sz w:val="28"/>
                <w:szCs w:val="28"/>
              </w:rPr>
              <w:t>、一般混凝土、鋼筋與鋼板</w:t>
            </w:r>
            <w:r w:rsidR="00266761" w:rsidRPr="003E2964">
              <w:rPr>
                <w:rFonts w:eastAsia="標楷體"/>
                <w:sz w:val="28"/>
                <w:szCs w:val="28"/>
              </w:rPr>
              <w:t>。</w:t>
            </w:r>
          </w:p>
          <w:p w14:paraId="70304006" w14:textId="439200C4" w:rsidR="007202EB"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（二）</w:t>
            </w:r>
            <w:r w:rsidR="00D85C7B" w:rsidRPr="003E2964">
              <w:rPr>
                <w:rFonts w:eastAsia="標楷體"/>
                <w:sz w:val="28"/>
                <w:szCs w:val="28"/>
              </w:rPr>
              <w:t>建立</w:t>
            </w:r>
            <w:r w:rsidR="00CA5E65" w:rsidRPr="003E2964">
              <w:rPr>
                <w:rFonts w:eastAsia="標楷體"/>
                <w:sz w:val="28"/>
                <w:szCs w:val="28"/>
              </w:rPr>
              <w:t>模擬爆炸</w:t>
            </w:r>
            <w:r w:rsidR="00184047" w:rsidRPr="003E2964">
              <w:rPr>
                <w:rFonts w:eastAsia="標楷體"/>
                <w:sz w:val="28"/>
                <w:szCs w:val="28"/>
              </w:rPr>
              <w:t>實驗</w:t>
            </w:r>
            <w:r w:rsidR="00CA5E65" w:rsidRPr="003E2964">
              <w:rPr>
                <w:rFonts w:eastAsia="標楷體"/>
                <w:sz w:val="28"/>
                <w:szCs w:val="28"/>
              </w:rPr>
              <w:t>之分析模型</w:t>
            </w:r>
            <w:r w:rsidR="00D85C7B" w:rsidRPr="003E2964">
              <w:rPr>
                <w:rFonts w:eastAsia="標楷體"/>
                <w:sz w:val="28"/>
                <w:szCs w:val="28"/>
              </w:rPr>
              <w:t>，其可用於模擬構件受爆炸、衝擊載重作用下之行為</w:t>
            </w:r>
            <w:r w:rsidR="00266761" w:rsidRPr="003E2964">
              <w:rPr>
                <w:rFonts w:eastAsia="標楷體"/>
                <w:sz w:val="28"/>
                <w:szCs w:val="28"/>
              </w:rPr>
              <w:t>。</w:t>
            </w:r>
          </w:p>
          <w:p w14:paraId="736DF882" w14:textId="79E96A9A" w:rsidR="00850CE9"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（三）</w:t>
            </w:r>
            <w:r w:rsidR="00CA5E65" w:rsidRPr="003E2964">
              <w:rPr>
                <w:rFonts w:eastAsia="標楷體"/>
                <w:sz w:val="28"/>
                <w:szCs w:val="28"/>
              </w:rPr>
              <w:t>UHPC</w:t>
            </w:r>
            <w:r w:rsidR="002D3122" w:rsidRPr="003E2964">
              <w:rPr>
                <w:rFonts w:eastAsia="標楷體"/>
                <w:sz w:val="28"/>
                <w:szCs w:val="28"/>
              </w:rPr>
              <w:t>及其複合構件</w:t>
            </w:r>
            <w:r w:rsidR="00CA5E65" w:rsidRPr="003E2964">
              <w:rPr>
                <w:rFonts w:eastAsia="標楷體"/>
                <w:sz w:val="28"/>
                <w:szCs w:val="28"/>
              </w:rPr>
              <w:t>受爆炸荷載作用下之行為模式</w:t>
            </w:r>
            <w:r w:rsidR="007F52F1" w:rsidRPr="003E2964">
              <w:rPr>
                <w:rFonts w:eastAsia="標楷體"/>
                <w:sz w:val="28"/>
                <w:szCs w:val="28"/>
              </w:rPr>
              <w:t>分析</w:t>
            </w:r>
            <w:r w:rsidR="00551539" w:rsidRPr="003E2964">
              <w:rPr>
                <w:rFonts w:eastAsia="標楷體"/>
                <w:sz w:val="28"/>
                <w:szCs w:val="28"/>
              </w:rPr>
              <w:t>及</w:t>
            </w:r>
            <w:r w:rsidR="0000516B" w:rsidRPr="003E2964">
              <w:rPr>
                <w:rFonts w:eastAsia="標楷體"/>
                <w:sz w:val="28"/>
                <w:szCs w:val="28"/>
              </w:rPr>
              <w:t>其厚度</w:t>
            </w:r>
            <w:r w:rsidR="00800042" w:rsidRPr="003E2964">
              <w:rPr>
                <w:rFonts w:eastAsia="標楷體"/>
                <w:sz w:val="28"/>
                <w:szCs w:val="28"/>
              </w:rPr>
              <w:t>、配置</w:t>
            </w:r>
            <w:r w:rsidR="00B11475" w:rsidRPr="003E2964">
              <w:rPr>
                <w:rFonts w:eastAsia="標楷體"/>
                <w:sz w:val="28"/>
                <w:szCs w:val="28"/>
              </w:rPr>
              <w:t>設計</w:t>
            </w:r>
            <w:r w:rsidR="006E39EE" w:rsidRPr="003E2964">
              <w:rPr>
                <w:rFonts w:eastAsia="標楷體"/>
                <w:sz w:val="28"/>
                <w:szCs w:val="28"/>
              </w:rPr>
              <w:t>等</w:t>
            </w:r>
            <w:r w:rsidR="00AD0DB1" w:rsidRPr="003E2964">
              <w:rPr>
                <w:rFonts w:eastAsia="標楷體"/>
                <w:sz w:val="28"/>
                <w:szCs w:val="28"/>
              </w:rPr>
              <w:t>相關</w:t>
            </w:r>
            <w:r w:rsidR="006E39EE" w:rsidRPr="003E2964">
              <w:rPr>
                <w:rFonts w:eastAsia="標楷體"/>
                <w:sz w:val="28"/>
                <w:szCs w:val="28"/>
              </w:rPr>
              <w:t>參數之影響</w:t>
            </w:r>
            <w:r w:rsidR="00266761" w:rsidRPr="003E2964">
              <w:rPr>
                <w:rFonts w:eastAsia="標楷體"/>
                <w:sz w:val="28"/>
                <w:szCs w:val="28"/>
              </w:rPr>
              <w:t>。</w:t>
            </w:r>
          </w:p>
          <w:p w14:paraId="58E922CC" w14:textId="6B507D29" w:rsidR="00CA5E65"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（四）</w:t>
            </w:r>
            <w:r w:rsidR="00CA5E65" w:rsidRPr="003E2964">
              <w:rPr>
                <w:rFonts w:eastAsia="標楷體"/>
                <w:sz w:val="28"/>
                <w:szCs w:val="28"/>
              </w:rPr>
              <w:t>UHPC</w:t>
            </w:r>
            <w:r w:rsidR="00850CE9" w:rsidRPr="003E2964">
              <w:rPr>
                <w:rFonts w:eastAsia="標楷體"/>
                <w:sz w:val="28"/>
                <w:szCs w:val="28"/>
              </w:rPr>
              <w:t>及其複合構件</w:t>
            </w:r>
            <w:r w:rsidR="006F3420" w:rsidRPr="003E2964">
              <w:rPr>
                <w:rFonts w:eastAsia="標楷體"/>
                <w:sz w:val="28"/>
                <w:szCs w:val="28"/>
              </w:rPr>
              <w:t>應用</w:t>
            </w:r>
            <w:r w:rsidR="00850CE9" w:rsidRPr="003E2964">
              <w:rPr>
                <w:rFonts w:eastAsia="標楷體"/>
                <w:sz w:val="28"/>
                <w:szCs w:val="28"/>
              </w:rPr>
              <w:t>於</w:t>
            </w:r>
            <w:r w:rsidR="00CA5E65" w:rsidRPr="003E2964">
              <w:rPr>
                <w:rFonts w:eastAsia="標楷體"/>
                <w:sz w:val="28"/>
                <w:szCs w:val="28"/>
              </w:rPr>
              <w:t>抗炸機庫堡</w:t>
            </w:r>
            <w:r w:rsidR="00F92E16" w:rsidRPr="003E2964">
              <w:rPr>
                <w:rFonts w:eastAsia="標楷體"/>
                <w:sz w:val="28"/>
                <w:szCs w:val="28"/>
              </w:rPr>
              <w:t>之</w:t>
            </w:r>
            <w:r w:rsidR="00CA5E65" w:rsidRPr="003E2964">
              <w:rPr>
                <w:rFonts w:eastAsia="標楷體"/>
                <w:sz w:val="28"/>
                <w:szCs w:val="28"/>
              </w:rPr>
              <w:t>設計</w:t>
            </w:r>
            <w:r w:rsidR="00850CE9" w:rsidRPr="003E2964">
              <w:rPr>
                <w:rFonts w:eastAsia="標楷體"/>
                <w:sz w:val="28"/>
                <w:szCs w:val="28"/>
              </w:rPr>
              <w:t>方法</w:t>
            </w:r>
            <w:r w:rsidR="00F92E16" w:rsidRPr="003E2964">
              <w:rPr>
                <w:rFonts w:eastAsia="標楷體"/>
                <w:sz w:val="28"/>
                <w:szCs w:val="28"/>
              </w:rPr>
              <w:t>與流程</w:t>
            </w:r>
            <w:r w:rsidR="00266761" w:rsidRPr="003E2964">
              <w:rPr>
                <w:rFonts w:eastAsia="標楷體"/>
                <w:sz w:val="28"/>
                <w:szCs w:val="28"/>
              </w:rPr>
              <w:t>。</w:t>
            </w:r>
          </w:p>
          <w:p w14:paraId="09DE8269" w14:textId="4AC3C508" w:rsidR="00615136"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（五）建立機庫堡結構於爆炸載重及重複衝擊作用下肢性能評估與設計參數，強化防護能力。</w:t>
            </w:r>
          </w:p>
          <w:p w14:paraId="6EA5D7B0" w14:textId="6DB4E071" w:rsidR="00615136"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（六）藉由上述技術突破，可有效提升機庫堡結構之防護效能，強化關鍵軍事設施於戰場環境之韌性。</w:t>
            </w:r>
          </w:p>
          <w:p w14:paraId="344A44AA" w14:textId="11C26639" w:rsidR="00D27345" w:rsidRPr="003E2964" w:rsidRDefault="00615136" w:rsidP="00A040CA">
            <w:pPr>
              <w:tabs>
                <w:tab w:val="left" w:pos="5057"/>
              </w:tabs>
              <w:snapToGrid w:val="0"/>
              <w:spacing w:line="240" w:lineRule="auto"/>
              <w:rPr>
                <w:rFonts w:eastAsia="標楷體"/>
                <w:bCs/>
                <w:sz w:val="28"/>
                <w:szCs w:val="28"/>
              </w:rPr>
            </w:pPr>
            <w:r w:rsidRPr="003E2964">
              <w:rPr>
                <w:rFonts w:eastAsia="標楷體"/>
                <w:bCs/>
                <w:sz w:val="28"/>
                <w:szCs w:val="28"/>
              </w:rPr>
              <w:t>二、</w:t>
            </w:r>
            <w:r w:rsidR="00D27345" w:rsidRPr="003E2964">
              <w:rPr>
                <w:rFonts w:eastAsia="標楷體"/>
                <w:bCs/>
                <w:sz w:val="28"/>
                <w:szCs w:val="28"/>
              </w:rPr>
              <w:t>後續應用：</w:t>
            </w:r>
          </w:p>
          <w:p w14:paraId="6327732E" w14:textId="26A6A509" w:rsidR="00D27345"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（一）</w:t>
            </w:r>
            <w:r w:rsidR="007A3241" w:rsidRPr="003E2964">
              <w:rPr>
                <w:rFonts w:eastAsia="標楷體"/>
                <w:sz w:val="28"/>
                <w:szCs w:val="28"/>
              </w:rPr>
              <w:t>所建立之</w:t>
            </w:r>
            <w:r w:rsidR="007A3241" w:rsidRPr="003E2964">
              <w:rPr>
                <w:rFonts w:eastAsia="標楷體"/>
                <w:sz w:val="28"/>
                <w:szCs w:val="28"/>
              </w:rPr>
              <w:t>UHPC</w:t>
            </w:r>
            <w:r w:rsidR="0041621E" w:rsidRPr="003E2964">
              <w:rPr>
                <w:rFonts w:eastAsia="標楷體"/>
                <w:sz w:val="28"/>
                <w:szCs w:val="28"/>
              </w:rPr>
              <w:t>與</w:t>
            </w:r>
            <w:r w:rsidR="00D45B47" w:rsidRPr="003E2964">
              <w:rPr>
                <w:rFonts w:eastAsia="標楷體"/>
                <w:sz w:val="28"/>
                <w:szCs w:val="28"/>
              </w:rPr>
              <w:t>相關</w:t>
            </w:r>
            <w:r w:rsidR="007A3241" w:rsidRPr="003E2964">
              <w:rPr>
                <w:rFonts w:eastAsia="標楷體"/>
                <w:sz w:val="28"/>
                <w:szCs w:val="28"/>
              </w:rPr>
              <w:t>材料模型，可持續應用於其他動態行為試驗</w:t>
            </w:r>
            <w:r w:rsidR="00D11D1F" w:rsidRPr="003E2964">
              <w:rPr>
                <w:rFonts w:eastAsia="標楷體"/>
                <w:sz w:val="28"/>
                <w:szCs w:val="28"/>
              </w:rPr>
              <w:t>分析</w:t>
            </w:r>
            <w:r w:rsidR="007A3241" w:rsidRPr="003E2964">
              <w:rPr>
                <w:rFonts w:eastAsia="標楷體"/>
                <w:sz w:val="28"/>
                <w:szCs w:val="28"/>
              </w:rPr>
              <w:t>，包含</w:t>
            </w:r>
            <w:r w:rsidR="00D11D1F" w:rsidRPr="003E2964">
              <w:rPr>
                <w:rFonts w:eastAsia="標楷體"/>
                <w:sz w:val="28"/>
                <w:szCs w:val="28"/>
              </w:rPr>
              <w:t>彈頭撞擊、衝擊加載等</w:t>
            </w:r>
            <w:r w:rsidR="005E586E" w:rsidRPr="003E2964">
              <w:rPr>
                <w:rFonts w:eastAsia="標楷體"/>
                <w:sz w:val="28"/>
                <w:szCs w:val="28"/>
              </w:rPr>
              <w:t>實驗</w:t>
            </w:r>
            <w:r w:rsidR="00D11D1F" w:rsidRPr="003E2964">
              <w:rPr>
                <w:rFonts w:eastAsia="標楷體"/>
                <w:sz w:val="28"/>
                <w:szCs w:val="28"/>
              </w:rPr>
              <w:t>分析項目。</w:t>
            </w:r>
          </w:p>
          <w:p w14:paraId="290F5DA2" w14:textId="1B6A571C" w:rsidR="003B0EE1"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（二）</w:t>
            </w:r>
            <w:r w:rsidR="003B0EE1" w:rsidRPr="003E2964">
              <w:rPr>
                <w:rFonts w:eastAsia="標楷體"/>
                <w:sz w:val="28"/>
                <w:szCs w:val="28"/>
              </w:rPr>
              <w:t>相關分析結果可做為後續實際試驗設計參考依據</w:t>
            </w:r>
            <w:r w:rsidR="00751240" w:rsidRPr="003E2964">
              <w:rPr>
                <w:rFonts w:eastAsia="標楷體"/>
                <w:sz w:val="28"/>
                <w:szCs w:val="28"/>
              </w:rPr>
              <w:t>。</w:t>
            </w:r>
          </w:p>
          <w:p w14:paraId="0F70AB29" w14:textId="1624E023" w:rsidR="00D11D1F"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（三）</w:t>
            </w:r>
            <w:r w:rsidR="00D11D1F" w:rsidRPr="003E2964">
              <w:rPr>
                <w:rFonts w:eastAsia="標楷體"/>
                <w:sz w:val="28"/>
                <w:szCs w:val="28"/>
              </w:rPr>
              <w:t>所建立</w:t>
            </w:r>
            <w:r w:rsidR="00D11D1F" w:rsidRPr="003E2964">
              <w:rPr>
                <w:rFonts w:eastAsia="標楷體"/>
                <w:sz w:val="28"/>
                <w:szCs w:val="28"/>
              </w:rPr>
              <w:t>UHPC</w:t>
            </w:r>
            <w:r w:rsidR="00750764" w:rsidRPr="003E2964">
              <w:rPr>
                <w:rFonts w:eastAsia="標楷體"/>
                <w:sz w:val="28"/>
                <w:szCs w:val="28"/>
              </w:rPr>
              <w:t>與</w:t>
            </w:r>
            <w:r w:rsidR="00D45B47" w:rsidRPr="003E2964">
              <w:rPr>
                <w:rFonts w:eastAsia="標楷體"/>
                <w:sz w:val="28"/>
                <w:szCs w:val="28"/>
              </w:rPr>
              <w:t>相關</w:t>
            </w:r>
            <w:r w:rsidR="00D11D1F" w:rsidRPr="003E2964">
              <w:rPr>
                <w:rFonts w:eastAsia="標楷體"/>
                <w:sz w:val="28"/>
                <w:szCs w:val="28"/>
              </w:rPr>
              <w:t>材料模型，可延伸應用於</w:t>
            </w:r>
            <w:r w:rsidR="00110981" w:rsidRPr="003E2964">
              <w:rPr>
                <w:rFonts w:eastAsia="標楷體"/>
                <w:sz w:val="28"/>
                <w:szCs w:val="28"/>
              </w:rPr>
              <w:t>實際</w:t>
            </w:r>
            <w:r w:rsidR="00D11D1F" w:rsidRPr="003E2964">
              <w:rPr>
                <w:rFonts w:eastAsia="標楷體"/>
                <w:sz w:val="28"/>
                <w:szCs w:val="28"/>
              </w:rPr>
              <w:t>建物抗炸分析。</w:t>
            </w:r>
          </w:p>
          <w:p w14:paraId="460ACF9F" w14:textId="5A6B0440" w:rsidR="00D11D1F"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（四）</w:t>
            </w:r>
            <w:r w:rsidR="00D45B47" w:rsidRPr="003E2964">
              <w:rPr>
                <w:rFonts w:eastAsia="標楷體"/>
                <w:sz w:val="28"/>
                <w:szCs w:val="28"/>
              </w:rPr>
              <w:t>研究成果</w:t>
            </w:r>
            <w:r w:rsidR="00D11D1F" w:rsidRPr="003E2964">
              <w:rPr>
                <w:rFonts w:eastAsia="標楷體"/>
                <w:sz w:val="28"/>
                <w:szCs w:val="28"/>
              </w:rPr>
              <w:t>可供</w:t>
            </w:r>
            <w:r w:rsidR="00D45B47" w:rsidRPr="003E2964">
              <w:rPr>
                <w:rFonts w:eastAsia="標楷體"/>
                <w:sz w:val="28"/>
                <w:szCs w:val="28"/>
              </w:rPr>
              <w:t>現代化</w:t>
            </w:r>
            <w:r w:rsidR="00D45B47" w:rsidRPr="003E2964">
              <w:rPr>
                <w:rFonts w:eastAsia="標楷體"/>
                <w:sz w:val="28"/>
                <w:szCs w:val="28"/>
              </w:rPr>
              <w:t>UHPC</w:t>
            </w:r>
            <w:r w:rsidR="00D45B47" w:rsidRPr="003E2964">
              <w:rPr>
                <w:rFonts w:eastAsia="標楷體"/>
                <w:sz w:val="28"/>
                <w:szCs w:val="28"/>
              </w:rPr>
              <w:t>防衛設施</w:t>
            </w:r>
            <w:r w:rsidR="00D11D1F" w:rsidRPr="003E2964">
              <w:rPr>
                <w:rFonts w:eastAsia="標楷體"/>
                <w:sz w:val="28"/>
                <w:szCs w:val="28"/>
              </w:rPr>
              <w:t>設計</w:t>
            </w:r>
            <w:r w:rsidR="00D45B47" w:rsidRPr="003E2964">
              <w:rPr>
                <w:rFonts w:eastAsia="標楷體"/>
                <w:sz w:val="28"/>
                <w:szCs w:val="28"/>
              </w:rPr>
              <w:t>之重要指南</w:t>
            </w:r>
            <w:r w:rsidR="00750764" w:rsidRPr="003E2964">
              <w:rPr>
                <w:rFonts w:eastAsia="標楷體"/>
                <w:sz w:val="28"/>
                <w:szCs w:val="28"/>
              </w:rPr>
              <w:t>，</w:t>
            </w:r>
            <w:r w:rsidR="00D45B47" w:rsidRPr="003E2964">
              <w:rPr>
                <w:rFonts w:eastAsia="標楷體"/>
                <w:sz w:val="28"/>
                <w:szCs w:val="28"/>
              </w:rPr>
              <w:t>應用</w:t>
            </w:r>
            <w:r w:rsidR="00750764" w:rsidRPr="003E2964">
              <w:rPr>
                <w:rFonts w:eastAsia="標楷體"/>
                <w:sz w:val="28"/>
                <w:szCs w:val="28"/>
              </w:rPr>
              <w:t>範圍包括機庫堡、</w:t>
            </w:r>
            <w:r w:rsidR="00D45B47" w:rsidRPr="003E2964">
              <w:rPr>
                <w:rFonts w:eastAsia="標楷體"/>
                <w:sz w:val="28"/>
                <w:szCs w:val="28"/>
              </w:rPr>
              <w:t>建築物、</w:t>
            </w:r>
            <w:r w:rsidR="00750764" w:rsidRPr="003E2964">
              <w:rPr>
                <w:rFonts w:eastAsia="標楷體"/>
                <w:sz w:val="28"/>
                <w:szCs w:val="28"/>
              </w:rPr>
              <w:t>防護設施與機場跑道等</w:t>
            </w:r>
            <w:r w:rsidR="00D11D1F" w:rsidRPr="003E2964">
              <w:rPr>
                <w:rFonts w:eastAsia="標楷體"/>
                <w:sz w:val="28"/>
                <w:szCs w:val="28"/>
              </w:rPr>
              <w:t>。</w:t>
            </w:r>
          </w:p>
          <w:p w14:paraId="4DB1E2ED" w14:textId="1326C2D9" w:rsidR="00B2200B" w:rsidRPr="003E2964" w:rsidRDefault="00615136" w:rsidP="00615136">
            <w:pPr>
              <w:tabs>
                <w:tab w:val="left" w:pos="5057"/>
              </w:tabs>
              <w:snapToGrid w:val="0"/>
              <w:ind w:leftChars="39" w:left="862" w:hangingChars="280" w:hanging="784"/>
              <w:rPr>
                <w:rFonts w:eastAsia="標楷體"/>
                <w:sz w:val="28"/>
                <w:szCs w:val="28"/>
              </w:rPr>
            </w:pPr>
            <w:r w:rsidRPr="003E2964">
              <w:rPr>
                <w:rFonts w:eastAsia="標楷體"/>
                <w:sz w:val="28"/>
                <w:szCs w:val="28"/>
              </w:rPr>
              <w:t>（五）將超高性能混凝土研究成果將運用於抗炸機庫堡新建工程，以提升機庫堡防護能力，以利機場韌性。</w:t>
            </w:r>
          </w:p>
        </w:tc>
      </w:tr>
    </w:tbl>
    <w:p w14:paraId="14F594EA" w14:textId="378BABD4" w:rsidR="009A7723" w:rsidRPr="003E2964" w:rsidRDefault="009A7723" w:rsidP="009A7723">
      <w:pPr>
        <w:widowControl/>
        <w:rPr>
          <w:rFonts w:eastAsia="標楷體"/>
          <w:vanish/>
          <w:position w:val="-1"/>
        </w:rPr>
      </w:pPr>
    </w:p>
    <w:sectPr w:rsidR="009A7723" w:rsidRPr="003E2964" w:rsidSect="006815EF">
      <w:headerReference w:type="default" r:id="rId8"/>
      <w:footerReference w:type="default" r:id="rId9"/>
      <w:pgSz w:w="11906" w:h="16838" w:code="9"/>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4DF05" w14:textId="77777777" w:rsidR="00B12534" w:rsidRDefault="00B12534" w:rsidP="006815EF">
      <w:pPr>
        <w:spacing w:line="240" w:lineRule="auto"/>
      </w:pPr>
      <w:r>
        <w:separator/>
      </w:r>
    </w:p>
  </w:endnote>
  <w:endnote w:type="continuationSeparator" w:id="0">
    <w:p w14:paraId="65065391" w14:textId="77777777" w:rsidR="00B12534" w:rsidRDefault="00B12534" w:rsidP="006815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622DA" w14:textId="55E643E9" w:rsidR="0028729D" w:rsidRPr="0028729D" w:rsidRDefault="0028729D" w:rsidP="0028729D">
    <w:pPr>
      <w:pStyle w:val="a5"/>
      <w:jc w:val="center"/>
      <w:rPr>
        <w:rFonts w:ascii="標楷體" w:eastAsia="標楷體" w:hAnsi="標楷體"/>
        <w:sz w:val="18"/>
      </w:rPr>
    </w:pPr>
    <w:r w:rsidRPr="0028729D">
      <w:rPr>
        <w:rFonts w:ascii="標楷體" w:eastAsia="標楷體" w:hAnsi="標楷體" w:hint="eastAsia"/>
        <w:sz w:val="18"/>
      </w:rPr>
      <w:t>第</w:t>
    </w:r>
    <w:r w:rsidRPr="0028729D">
      <w:rPr>
        <w:rFonts w:ascii="標楷體" w:eastAsia="標楷體" w:hAnsi="標楷體"/>
        <w:bCs/>
        <w:sz w:val="18"/>
      </w:rPr>
      <w:fldChar w:fldCharType="begin"/>
    </w:r>
    <w:r w:rsidRPr="0028729D">
      <w:rPr>
        <w:rFonts w:ascii="標楷體" w:eastAsia="標楷體" w:hAnsi="標楷體"/>
        <w:bCs/>
        <w:sz w:val="18"/>
      </w:rPr>
      <w:instrText>PAGE  \* Arabic  \* MERGEFORMAT</w:instrText>
    </w:r>
    <w:r w:rsidRPr="0028729D">
      <w:rPr>
        <w:rFonts w:ascii="標楷體" w:eastAsia="標楷體" w:hAnsi="標楷體"/>
        <w:bCs/>
        <w:sz w:val="18"/>
      </w:rPr>
      <w:fldChar w:fldCharType="separate"/>
    </w:r>
    <w:r w:rsidR="00845FF3" w:rsidRPr="00845FF3">
      <w:rPr>
        <w:rFonts w:ascii="標楷體" w:eastAsia="標楷體" w:hAnsi="標楷體"/>
        <w:bCs/>
        <w:noProof/>
        <w:sz w:val="18"/>
        <w:lang w:val="zh-TW"/>
      </w:rPr>
      <w:t>1</w:t>
    </w:r>
    <w:r w:rsidRPr="0028729D">
      <w:rPr>
        <w:rFonts w:ascii="標楷體" w:eastAsia="標楷體" w:hAnsi="標楷體"/>
        <w:bCs/>
        <w:sz w:val="18"/>
      </w:rPr>
      <w:fldChar w:fldCharType="end"/>
    </w:r>
    <w:r w:rsidRPr="0028729D">
      <w:rPr>
        <w:rFonts w:ascii="標楷體" w:eastAsia="標楷體" w:hAnsi="標楷體" w:hint="eastAsia"/>
        <w:sz w:val="18"/>
      </w:rPr>
      <w:t>頁，共</w:t>
    </w:r>
    <w:r w:rsidRPr="0028729D">
      <w:rPr>
        <w:rFonts w:ascii="標楷體" w:eastAsia="標楷體" w:hAnsi="標楷體"/>
        <w:bCs/>
        <w:sz w:val="18"/>
      </w:rPr>
      <w:fldChar w:fldCharType="begin"/>
    </w:r>
    <w:r w:rsidRPr="0028729D">
      <w:rPr>
        <w:rFonts w:ascii="標楷體" w:eastAsia="標楷體" w:hAnsi="標楷體"/>
        <w:bCs/>
        <w:sz w:val="18"/>
      </w:rPr>
      <w:instrText>NUMPAGES  \* Arabic  \* MERGEFORMAT</w:instrText>
    </w:r>
    <w:r w:rsidRPr="0028729D">
      <w:rPr>
        <w:rFonts w:ascii="標楷體" w:eastAsia="標楷體" w:hAnsi="標楷體"/>
        <w:bCs/>
        <w:sz w:val="18"/>
      </w:rPr>
      <w:fldChar w:fldCharType="separate"/>
    </w:r>
    <w:r w:rsidR="00845FF3" w:rsidRPr="00845FF3">
      <w:rPr>
        <w:rFonts w:ascii="標楷體" w:eastAsia="標楷體" w:hAnsi="標楷體"/>
        <w:bCs/>
        <w:noProof/>
        <w:sz w:val="18"/>
        <w:lang w:val="zh-TW"/>
      </w:rPr>
      <w:t>2</w:t>
    </w:r>
    <w:r w:rsidRPr="0028729D">
      <w:rPr>
        <w:rFonts w:ascii="標楷體" w:eastAsia="標楷體" w:hAnsi="標楷體"/>
        <w:bCs/>
        <w:sz w:val="18"/>
      </w:rPr>
      <w:fldChar w:fldCharType="end"/>
    </w:r>
    <w:r w:rsidRPr="0028729D">
      <w:rPr>
        <w:rFonts w:ascii="標楷體" w:eastAsia="標楷體" w:hAnsi="標楷體" w:hint="eastAsia"/>
        <w:sz w:val="18"/>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9386D" w14:textId="77777777" w:rsidR="00B12534" w:rsidRDefault="00B12534" w:rsidP="006815EF">
      <w:pPr>
        <w:spacing w:line="240" w:lineRule="auto"/>
      </w:pPr>
      <w:r>
        <w:separator/>
      </w:r>
    </w:p>
  </w:footnote>
  <w:footnote w:type="continuationSeparator" w:id="0">
    <w:p w14:paraId="6706F820" w14:textId="77777777" w:rsidR="00B12534" w:rsidRDefault="00B12534" w:rsidP="006815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54BF6" w14:textId="6F31A7D3" w:rsidR="00DF377F" w:rsidRPr="0028729D" w:rsidRDefault="0028729D" w:rsidP="0028729D">
    <w:pPr>
      <w:pStyle w:val="a3"/>
      <w:jc w:val="center"/>
      <w:rPr>
        <w:rFonts w:ascii="標楷體" w:eastAsia="標楷體" w:hAnsi="標楷體"/>
      </w:rPr>
    </w:pPr>
    <w:r w:rsidRPr="0028729D">
      <w:rPr>
        <w:rFonts w:ascii="標楷體" w:eastAsia="標楷體" w:hAnsi="標楷體" w:hint="eastAsia"/>
      </w:rPr>
      <w:t>無(本件屬一般公務資訊)</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70BD"/>
    <w:multiLevelType w:val="hybridMultilevel"/>
    <w:tmpl w:val="B5ECA596"/>
    <w:lvl w:ilvl="0" w:tplc="FFFFFFF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CA02EC"/>
    <w:multiLevelType w:val="hybridMultilevel"/>
    <w:tmpl w:val="3EE2AE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BB5655"/>
    <w:multiLevelType w:val="hybridMultilevel"/>
    <w:tmpl w:val="98A20A0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82C486E"/>
    <w:multiLevelType w:val="hybridMultilevel"/>
    <w:tmpl w:val="801EA348"/>
    <w:lvl w:ilvl="0" w:tplc="CF6631E6">
      <w:start w:val="1"/>
      <w:numFmt w:val="taiwaneseCountingThousand"/>
      <w:lvlText w:val="%1、"/>
      <w:lvlJc w:val="left"/>
      <w:pPr>
        <w:ind w:left="480" w:hanging="48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2B2B4A8E"/>
    <w:multiLevelType w:val="hybridMultilevel"/>
    <w:tmpl w:val="38A801B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305A26C9"/>
    <w:multiLevelType w:val="hybridMultilevel"/>
    <w:tmpl w:val="6A826750"/>
    <w:lvl w:ilvl="0" w:tplc="03C64050">
      <w:start w:val="1"/>
      <w:numFmt w:val="taiwaneseCountingThousand"/>
      <w:lvlText w:val="（%1）"/>
      <w:lvlJc w:val="left"/>
      <w:pPr>
        <w:ind w:left="480" w:hanging="480"/>
      </w:pPr>
      <w:rPr>
        <w:rFonts w:ascii="標楷體" w:eastAsia="標楷體" w:hAnsi="標楷體" w:cs="Times New Roman"/>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41BC10BE"/>
    <w:multiLevelType w:val="hybridMultilevel"/>
    <w:tmpl w:val="EACC216C"/>
    <w:lvl w:ilvl="0" w:tplc="B0B6A63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49450FB7"/>
    <w:multiLevelType w:val="hybridMultilevel"/>
    <w:tmpl w:val="50F65DB8"/>
    <w:lvl w:ilvl="0" w:tplc="EE42F350">
      <w:start w:val="1"/>
      <w:numFmt w:val="decimal"/>
      <w:lvlText w:val="%1."/>
      <w:lvlJc w:val="left"/>
      <w:pPr>
        <w:ind w:left="360" w:hanging="360"/>
      </w:pPr>
    </w:lvl>
    <w:lvl w:ilvl="1" w:tplc="0409000F">
      <w:start w:val="1"/>
      <w:numFmt w:val="decimal"/>
      <w:lvlText w:val="%2."/>
      <w:lvlJc w:val="left"/>
      <w:pPr>
        <w:ind w:left="48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55FB4B0D"/>
    <w:multiLevelType w:val="hybridMultilevel"/>
    <w:tmpl w:val="3EE2AE8A"/>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5E4F508B"/>
    <w:multiLevelType w:val="hybridMultilevel"/>
    <w:tmpl w:val="4F5A99C0"/>
    <w:lvl w:ilvl="0" w:tplc="02B66A96">
      <w:start w:val="1"/>
      <w:numFmt w:val="taiwaneseCountingThousand"/>
      <w:lvlText w:val="%1、"/>
      <w:lvlJc w:val="left"/>
      <w:pPr>
        <w:ind w:left="480" w:hanging="480"/>
      </w:pPr>
      <w:rPr>
        <w:rFonts w:ascii="Times New Roman" w:eastAsia="標楷體" w:hAnsi="Times New Roman" w:cs="Times New Roman"/>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640E3A13"/>
    <w:multiLevelType w:val="hybridMultilevel"/>
    <w:tmpl w:val="B076409A"/>
    <w:lvl w:ilvl="0" w:tplc="CF6631E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25B6B79"/>
    <w:multiLevelType w:val="hybridMultilevel"/>
    <w:tmpl w:val="A9B2C5A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7AB2EEE"/>
    <w:multiLevelType w:val="hybridMultilevel"/>
    <w:tmpl w:val="801EA348"/>
    <w:lvl w:ilvl="0" w:tplc="FFFFFFFF">
      <w:start w:val="1"/>
      <w:numFmt w:val="taiwaneseCountingThousand"/>
      <w:lvlText w:val="%1、"/>
      <w:lvlJc w:val="left"/>
      <w:pPr>
        <w:ind w:left="480" w:hanging="48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7BE26329"/>
    <w:multiLevelType w:val="hybridMultilevel"/>
    <w:tmpl w:val="EACC216C"/>
    <w:lvl w:ilvl="0" w:tplc="B0B6A63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7CEB1111"/>
    <w:multiLevelType w:val="hybridMultilevel"/>
    <w:tmpl w:val="1168249E"/>
    <w:lvl w:ilvl="0" w:tplc="7CBE17FA">
      <w:start w:val="1"/>
      <w:numFmt w:val="taiwaneseCountingThousand"/>
      <w:lvlText w:val="（%1）"/>
      <w:lvlJc w:val="left"/>
      <w:pPr>
        <w:ind w:left="1550" w:hanging="855"/>
      </w:pPr>
      <w:rPr>
        <w:rFonts w:ascii="標楷體" w:hAnsi="標楷體" w:hint="default"/>
      </w:rPr>
    </w:lvl>
    <w:lvl w:ilvl="1" w:tplc="04090019" w:tentative="1">
      <w:start w:val="1"/>
      <w:numFmt w:val="ideographTraditional"/>
      <w:lvlText w:val="%2、"/>
      <w:lvlJc w:val="left"/>
      <w:pPr>
        <w:ind w:left="1655" w:hanging="480"/>
      </w:pPr>
    </w:lvl>
    <w:lvl w:ilvl="2" w:tplc="0409001B" w:tentative="1">
      <w:start w:val="1"/>
      <w:numFmt w:val="lowerRoman"/>
      <w:lvlText w:val="%3."/>
      <w:lvlJc w:val="right"/>
      <w:pPr>
        <w:ind w:left="2135" w:hanging="480"/>
      </w:pPr>
    </w:lvl>
    <w:lvl w:ilvl="3" w:tplc="0409000F" w:tentative="1">
      <w:start w:val="1"/>
      <w:numFmt w:val="decimal"/>
      <w:lvlText w:val="%4."/>
      <w:lvlJc w:val="left"/>
      <w:pPr>
        <w:ind w:left="2615" w:hanging="480"/>
      </w:pPr>
    </w:lvl>
    <w:lvl w:ilvl="4" w:tplc="04090019" w:tentative="1">
      <w:start w:val="1"/>
      <w:numFmt w:val="ideographTraditional"/>
      <w:lvlText w:val="%5、"/>
      <w:lvlJc w:val="left"/>
      <w:pPr>
        <w:ind w:left="3095" w:hanging="480"/>
      </w:pPr>
    </w:lvl>
    <w:lvl w:ilvl="5" w:tplc="0409001B" w:tentative="1">
      <w:start w:val="1"/>
      <w:numFmt w:val="lowerRoman"/>
      <w:lvlText w:val="%6."/>
      <w:lvlJc w:val="right"/>
      <w:pPr>
        <w:ind w:left="3575" w:hanging="480"/>
      </w:pPr>
    </w:lvl>
    <w:lvl w:ilvl="6" w:tplc="0409000F" w:tentative="1">
      <w:start w:val="1"/>
      <w:numFmt w:val="decimal"/>
      <w:lvlText w:val="%7."/>
      <w:lvlJc w:val="left"/>
      <w:pPr>
        <w:ind w:left="4055" w:hanging="480"/>
      </w:pPr>
    </w:lvl>
    <w:lvl w:ilvl="7" w:tplc="04090019" w:tentative="1">
      <w:start w:val="1"/>
      <w:numFmt w:val="ideographTraditional"/>
      <w:lvlText w:val="%8、"/>
      <w:lvlJc w:val="left"/>
      <w:pPr>
        <w:ind w:left="4535" w:hanging="480"/>
      </w:pPr>
    </w:lvl>
    <w:lvl w:ilvl="8" w:tplc="0409001B" w:tentative="1">
      <w:start w:val="1"/>
      <w:numFmt w:val="lowerRoman"/>
      <w:lvlText w:val="%9."/>
      <w:lvlJc w:val="right"/>
      <w:pPr>
        <w:ind w:left="5015" w:hanging="480"/>
      </w:pPr>
    </w:lvl>
  </w:abstractNum>
  <w:num w:numId="1">
    <w:abstractNumId w:val="13"/>
  </w:num>
  <w:num w:numId="2">
    <w:abstractNumId w:val="6"/>
  </w:num>
  <w:num w:numId="3">
    <w:abstractNumId w:val="10"/>
  </w:num>
  <w:num w:numId="4">
    <w:abstractNumId w:val="1"/>
  </w:num>
  <w:num w:numId="5">
    <w:abstractNumId w:val="4"/>
  </w:num>
  <w:num w:numId="6">
    <w:abstractNumId w:val="9"/>
  </w:num>
  <w:num w:numId="7">
    <w:abstractNumId w:val="7"/>
  </w:num>
  <w:num w:numId="8">
    <w:abstractNumId w:val="7"/>
  </w:num>
  <w:num w:numId="9">
    <w:abstractNumId w:val="2"/>
  </w:num>
  <w:num w:numId="10">
    <w:abstractNumId w:val="11"/>
  </w:num>
  <w:num w:numId="11">
    <w:abstractNumId w:val="0"/>
  </w:num>
  <w:num w:numId="12">
    <w:abstractNumId w:val="3"/>
  </w:num>
  <w:num w:numId="13">
    <w:abstractNumId w:val="8"/>
  </w:num>
  <w:num w:numId="14">
    <w:abstractNumId w:val="5"/>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5EF"/>
    <w:rsid w:val="0000516B"/>
    <w:rsid w:val="00030D69"/>
    <w:rsid w:val="00032165"/>
    <w:rsid w:val="000405A3"/>
    <w:rsid w:val="000421C5"/>
    <w:rsid w:val="0004645E"/>
    <w:rsid w:val="00051384"/>
    <w:rsid w:val="000569AA"/>
    <w:rsid w:val="000650DA"/>
    <w:rsid w:val="00083038"/>
    <w:rsid w:val="000901DE"/>
    <w:rsid w:val="000956BA"/>
    <w:rsid w:val="000B6BFF"/>
    <w:rsid w:val="000B77AF"/>
    <w:rsid w:val="000D0FFA"/>
    <w:rsid w:val="000D1A29"/>
    <w:rsid w:val="000D2A2D"/>
    <w:rsid w:val="000F2D0A"/>
    <w:rsid w:val="000F3804"/>
    <w:rsid w:val="000F56A8"/>
    <w:rsid w:val="001053A1"/>
    <w:rsid w:val="00110981"/>
    <w:rsid w:val="001127DC"/>
    <w:rsid w:val="00132C35"/>
    <w:rsid w:val="00141AB5"/>
    <w:rsid w:val="001465E9"/>
    <w:rsid w:val="00151CD4"/>
    <w:rsid w:val="001553DC"/>
    <w:rsid w:val="00173ED3"/>
    <w:rsid w:val="00184047"/>
    <w:rsid w:val="00191404"/>
    <w:rsid w:val="001A0435"/>
    <w:rsid w:val="001A05A9"/>
    <w:rsid w:val="001A209E"/>
    <w:rsid w:val="001A413A"/>
    <w:rsid w:val="001C74B9"/>
    <w:rsid w:val="001D26D2"/>
    <w:rsid w:val="001D3776"/>
    <w:rsid w:val="001F6076"/>
    <w:rsid w:val="00203AB0"/>
    <w:rsid w:val="002124B7"/>
    <w:rsid w:val="00213081"/>
    <w:rsid w:val="0021781D"/>
    <w:rsid w:val="002214CB"/>
    <w:rsid w:val="002248E8"/>
    <w:rsid w:val="00224D3E"/>
    <w:rsid w:val="00226E1A"/>
    <w:rsid w:val="00235C6F"/>
    <w:rsid w:val="00245680"/>
    <w:rsid w:val="00253018"/>
    <w:rsid w:val="002547A5"/>
    <w:rsid w:val="002553F6"/>
    <w:rsid w:val="002625D4"/>
    <w:rsid w:val="00266761"/>
    <w:rsid w:val="0028729D"/>
    <w:rsid w:val="00297190"/>
    <w:rsid w:val="002A6ABB"/>
    <w:rsid w:val="002B1740"/>
    <w:rsid w:val="002C595B"/>
    <w:rsid w:val="002D3122"/>
    <w:rsid w:val="002D5430"/>
    <w:rsid w:val="002D695C"/>
    <w:rsid w:val="002F241E"/>
    <w:rsid w:val="002F52CF"/>
    <w:rsid w:val="002F573C"/>
    <w:rsid w:val="00302F75"/>
    <w:rsid w:val="00307E20"/>
    <w:rsid w:val="003429ED"/>
    <w:rsid w:val="0037448A"/>
    <w:rsid w:val="00383387"/>
    <w:rsid w:val="003A347E"/>
    <w:rsid w:val="003A4363"/>
    <w:rsid w:val="003B0EE1"/>
    <w:rsid w:val="003B169C"/>
    <w:rsid w:val="003C0FA0"/>
    <w:rsid w:val="003C3594"/>
    <w:rsid w:val="003D00A2"/>
    <w:rsid w:val="003D124A"/>
    <w:rsid w:val="003E2964"/>
    <w:rsid w:val="003E60A2"/>
    <w:rsid w:val="003F2A6E"/>
    <w:rsid w:val="00400710"/>
    <w:rsid w:val="0040278E"/>
    <w:rsid w:val="00404654"/>
    <w:rsid w:val="00412DF7"/>
    <w:rsid w:val="0041621E"/>
    <w:rsid w:val="00420BE2"/>
    <w:rsid w:val="004343EB"/>
    <w:rsid w:val="0043627D"/>
    <w:rsid w:val="0043790F"/>
    <w:rsid w:val="00447641"/>
    <w:rsid w:val="004564B8"/>
    <w:rsid w:val="004630DB"/>
    <w:rsid w:val="0048525C"/>
    <w:rsid w:val="0049079D"/>
    <w:rsid w:val="004A16E6"/>
    <w:rsid w:val="004A2268"/>
    <w:rsid w:val="004B05F0"/>
    <w:rsid w:val="004B7635"/>
    <w:rsid w:val="004C3DAA"/>
    <w:rsid w:val="004D1E0E"/>
    <w:rsid w:val="004E3964"/>
    <w:rsid w:val="005071B1"/>
    <w:rsid w:val="00511E3B"/>
    <w:rsid w:val="00520FA1"/>
    <w:rsid w:val="005271FB"/>
    <w:rsid w:val="005479C3"/>
    <w:rsid w:val="00551539"/>
    <w:rsid w:val="00560B16"/>
    <w:rsid w:val="00566520"/>
    <w:rsid w:val="0057488C"/>
    <w:rsid w:val="00590848"/>
    <w:rsid w:val="005A095C"/>
    <w:rsid w:val="005A16AD"/>
    <w:rsid w:val="005A2EBD"/>
    <w:rsid w:val="005A56A7"/>
    <w:rsid w:val="005C6EED"/>
    <w:rsid w:val="005D0E05"/>
    <w:rsid w:val="005D773B"/>
    <w:rsid w:val="005E586E"/>
    <w:rsid w:val="00615136"/>
    <w:rsid w:val="006226F2"/>
    <w:rsid w:val="00623EA0"/>
    <w:rsid w:val="00641347"/>
    <w:rsid w:val="0065415B"/>
    <w:rsid w:val="006607E8"/>
    <w:rsid w:val="00670166"/>
    <w:rsid w:val="006743C9"/>
    <w:rsid w:val="0068027A"/>
    <w:rsid w:val="006815EF"/>
    <w:rsid w:val="00686C4A"/>
    <w:rsid w:val="00693AF4"/>
    <w:rsid w:val="006B5FD2"/>
    <w:rsid w:val="006C3078"/>
    <w:rsid w:val="006C72E0"/>
    <w:rsid w:val="006E1E59"/>
    <w:rsid w:val="006E39EE"/>
    <w:rsid w:val="006F3420"/>
    <w:rsid w:val="006F7B58"/>
    <w:rsid w:val="00702446"/>
    <w:rsid w:val="00702878"/>
    <w:rsid w:val="00707835"/>
    <w:rsid w:val="007176F9"/>
    <w:rsid w:val="007202EB"/>
    <w:rsid w:val="00730E64"/>
    <w:rsid w:val="00732F1B"/>
    <w:rsid w:val="0073444A"/>
    <w:rsid w:val="00736F55"/>
    <w:rsid w:val="00750764"/>
    <w:rsid w:val="00751240"/>
    <w:rsid w:val="00751BAE"/>
    <w:rsid w:val="0075461C"/>
    <w:rsid w:val="00757FC7"/>
    <w:rsid w:val="00771B7D"/>
    <w:rsid w:val="007915F2"/>
    <w:rsid w:val="007930A1"/>
    <w:rsid w:val="0079552A"/>
    <w:rsid w:val="007A3241"/>
    <w:rsid w:val="007A544A"/>
    <w:rsid w:val="007A6790"/>
    <w:rsid w:val="007B455C"/>
    <w:rsid w:val="007D38FA"/>
    <w:rsid w:val="007D63D3"/>
    <w:rsid w:val="007F0AE6"/>
    <w:rsid w:val="007F52F1"/>
    <w:rsid w:val="00800042"/>
    <w:rsid w:val="00800727"/>
    <w:rsid w:val="008045A5"/>
    <w:rsid w:val="008054D3"/>
    <w:rsid w:val="00810401"/>
    <w:rsid w:val="008108D9"/>
    <w:rsid w:val="00814207"/>
    <w:rsid w:val="008144D3"/>
    <w:rsid w:val="00816408"/>
    <w:rsid w:val="00816A8C"/>
    <w:rsid w:val="00840827"/>
    <w:rsid w:val="008446A4"/>
    <w:rsid w:val="00845FF3"/>
    <w:rsid w:val="00850CE9"/>
    <w:rsid w:val="00852360"/>
    <w:rsid w:val="008568BB"/>
    <w:rsid w:val="008607F2"/>
    <w:rsid w:val="008768DC"/>
    <w:rsid w:val="008844AE"/>
    <w:rsid w:val="00887DEC"/>
    <w:rsid w:val="00897989"/>
    <w:rsid w:val="00897C49"/>
    <w:rsid w:val="008B06B8"/>
    <w:rsid w:val="008B40CE"/>
    <w:rsid w:val="008E6BA5"/>
    <w:rsid w:val="008F3A4A"/>
    <w:rsid w:val="008F58E5"/>
    <w:rsid w:val="00915906"/>
    <w:rsid w:val="00917825"/>
    <w:rsid w:val="009360BC"/>
    <w:rsid w:val="009462BE"/>
    <w:rsid w:val="009565C1"/>
    <w:rsid w:val="00960CF9"/>
    <w:rsid w:val="009779E8"/>
    <w:rsid w:val="00977DA6"/>
    <w:rsid w:val="00987190"/>
    <w:rsid w:val="00991776"/>
    <w:rsid w:val="009A7723"/>
    <w:rsid w:val="009B395F"/>
    <w:rsid w:val="009B3EB3"/>
    <w:rsid w:val="009D1DFC"/>
    <w:rsid w:val="009E373A"/>
    <w:rsid w:val="009F3C51"/>
    <w:rsid w:val="009F424D"/>
    <w:rsid w:val="009F5B81"/>
    <w:rsid w:val="009F76E5"/>
    <w:rsid w:val="00A040CA"/>
    <w:rsid w:val="00A041FC"/>
    <w:rsid w:val="00A10574"/>
    <w:rsid w:val="00A13BF0"/>
    <w:rsid w:val="00A220D6"/>
    <w:rsid w:val="00A30039"/>
    <w:rsid w:val="00A325FA"/>
    <w:rsid w:val="00A33EBF"/>
    <w:rsid w:val="00A52D03"/>
    <w:rsid w:val="00A7179E"/>
    <w:rsid w:val="00A96836"/>
    <w:rsid w:val="00AB0EBB"/>
    <w:rsid w:val="00AC2E6F"/>
    <w:rsid w:val="00AC3B89"/>
    <w:rsid w:val="00AC5CE8"/>
    <w:rsid w:val="00AD0DB1"/>
    <w:rsid w:val="00AD1C5E"/>
    <w:rsid w:val="00AE1A44"/>
    <w:rsid w:val="00AE5FE0"/>
    <w:rsid w:val="00B11475"/>
    <w:rsid w:val="00B12534"/>
    <w:rsid w:val="00B15488"/>
    <w:rsid w:val="00B2200B"/>
    <w:rsid w:val="00B24BB3"/>
    <w:rsid w:val="00B33027"/>
    <w:rsid w:val="00B33958"/>
    <w:rsid w:val="00B46512"/>
    <w:rsid w:val="00B5004E"/>
    <w:rsid w:val="00B71013"/>
    <w:rsid w:val="00B72E7F"/>
    <w:rsid w:val="00B772EB"/>
    <w:rsid w:val="00BC3A11"/>
    <w:rsid w:val="00BC56C9"/>
    <w:rsid w:val="00BF1DC3"/>
    <w:rsid w:val="00BF6978"/>
    <w:rsid w:val="00C02542"/>
    <w:rsid w:val="00C04965"/>
    <w:rsid w:val="00C27EBA"/>
    <w:rsid w:val="00C30907"/>
    <w:rsid w:val="00C41CCC"/>
    <w:rsid w:val="00C41D6D"/>
    <w:rsid w:val="00C63321"/>
    <w:rsid w:val="00C7075E"/>
    <w:rsid w:val="00C70E9B"/>
    <w:rsid w:val="00C7333F"/>
    <w:rsid w:val="00C920FE"/>
    <w:rsid w:val="00CA1ADD"/>
    <w:rsid w:val="00CA5E65"/>
    <w:rsid w:val="00CB1229"/>
    <w:rsid w:val="00CB383E"/>
    <w:rsid w:val="00CC5DFA"/>
    <w:rsid w:val="00CC773D"/>
    <w:rsid w:val="00CE104C"/>
    <w:rsid w:val="00CE335E"/>
    <w:rsid w:val="00CE6C04"/>
    <w:rsid w:val="00CF1C77"/>
    <w:rsid w:val="00CF20A6"/>
    <w:rsid w:val="00D06DC2"/>
    <w:rsid w:val="00D11D1F"/>
    <w:rsid w:val="00D12D42"/>
    <w:rsid w:val="00D137A2"/>
    <w:rsid w:val="00D26E9D"/>
    <w:rsid w:val="00D27345"/>
    <w:rsid w:val="00D3312E"/>
    <w:rsid w:val="00D4226D"/>
    <w:rsid w:val="00D43D90"/>
    <w:rsid w:val="00D44911"/>
    <w:rsid w:val="00D45B47"/>
    <w:rsid w:val="00D52C7F"/>
    <w:rsid w:val="00D52E9C"/>
    <w:rsid w:val="00D617FC"/>
    <w:rsid w:val="00D6430B"/>
    <w:rsid w:val="00D721B6"/>
    <w:rsid w:val="00D85C7B"/>
    <w:rsid w:val="00D91FA4"/>
    <w:rsid w:val="00D96694"/>
    <w:rsid w:val="00DA1C25"/>
    <w:rsid w:val="00DA4DDA"/>
    <w:rsid w:val="00DB65E5"/>
    <w:rsid w:val="00DE3388"/>
    <w:rsid w:val="00DF3583"/>
    <w:rsid w:val="00DF377F"/>
    <w:rsid w:val="00DF4128"/>
    <w:rsid w:val="00E122F8"/>
    <w:rsid w:val="00E13005"/>
    <w:rsid w:val="00E20BEC"/>
    <w:rsid w:val="00E22417"/>
    <w:rsid w:val="00E3281E"/>
    <w:rsid w:val="00E4055C"/>
    <w:rsid w:val="00E40584"/>
    <w:rsid w:val="00E47814"/>
    <w:rsid w:val="00E53913"/>
    <w:rsid w:val="00E609C9"/>
    <w:rsid w:val="00E72D09"/>
    <w:rsid w:val="00E76413"/>
    <w:rsid w:val="00E95C61"/>
    <w:rsid w:val="00EB433A"/>
    <w:rsid w:val="00EB43C5"/>
    <w:rsid w:val="00EB4667"/>
    <w:rsid w:val="00EB6C13"/>
    <w:rsid w:val="00EC0B4E"/>
    <w:rsid w:val="00ED15ED"/>
    <w:rsid w:val="00ED7620"/>
    <w:rsid w:val="00EE0DD6"/>
    <w:rsid w:val="00EF603A"/>
    <w:rsid w:val="00F10C89"/>
    <w:rsid w:val="00F258AE"/>
    <w:rsid w:val="00F37513"/>
    <w:rsid w:val="00F5247E"/>
    <w:rsid w:val="00F73E5A"/>
    <w:rsid w:val="00F82B1D"/>
    <w:rsid w:val="00F92E16"/>
    <w:rsid w:val="00F97155"/>
    <w:rsid w:val="00FA26CC"/>
    <w:rsid w:val="00FB5C19"/>
    <w:rsid w:val="00FC2333"/>
    <w:rsid w:val="00FD61DB"/>
    <w:rsid w:val="00FE74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C4BCE"/>
  <w15:docId w15:val="{24FF950D-57E1-41ED-B1F2-7E5D18C6B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5EF"/>
    <w:pPr>
      <w:widowControl w:val="0"/>
      <w:adjustRightInd w:val="0"/>
      <w:spacing w:line="360" w:lineRule="atLeast"/>
      <w:jc w:val="both"/>
      <w:textAlignment w:val="baseline"/>
    </w:pPr>
    <w:rPr>
      <w:rFonts w:ascii="Times New Roman" w:eastAsia="新細明體" w:hAnsi="Times New Roman" w:cs="Times New Roman"/>
      <w:kern w:val="0"/>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15EF"/>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Cs w:val="20"/>
    </w:rPr>
  </w:style>
  <w:style w:type="character" w:customStyle="1" w:styleId="a4">
    <w:name w:val="頁首 字元"/>
    <w:basedOn w:val="a0"/>
    <w:link w:val="a3"/>
    <w:uiPriority w:val="99"/>
    <w:rsid w:val="006815EF"/>
    <w:rPr>
      <w:sz w:val="20"/>
      <w:szCs w:val="20"/>
    </w:rPr>
  </w:style>
  <w:style w:type="paragraph" w:styleId="a5">
    <w:name w:val="footer"/>
    <w:basedOn w:val="a"/>
    <w:link w:val="a6"/>
    <w:uiPriority w:val="99"/>
    <w:unhideWhenUsed/>
    <w:rsid w:val="006815EF"/>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Cs w:val="20"/>
    </w:rPr>
  </w:style>
  <w:style w:type="character" w:customStyle="1" w:styleId="a6">
    <w:name w:val="頁尾 字元"/>
    <w:basedOn w:val="a0"/>
    <w:link w:val="a5"/>
    <w:uiPriority w:val="99"/>
    <w:rsid w:val="006815EF"/>
    <w:rPr>
      <w:sz w:val="20"/>
      <w:szCs w:val="20"/>
    </w:rPr>
  </w:style>
  <w:style w:type="paragraph" w:customStyle="1" w:styleId="TableParagraph">
    <w:name w:val="Table Paragraph"/>
    <w:basedOn w:val="a"/>
    <w:uiPriority w:val="1"/>
    <w:qFormat/>
    <w:rsid w:val="006815EF"/>
    <w:pPr>
      <w:autoSpaceDE w:val="0"/>
      <w:autoSpaceDN w:val="0"/>
    </w:pPr>
    <w:rPr>
      <w:rFonts w:ascii="標楷體" w:eastAsia="標楷體" w:hAnsi="標楷體" w:cs="標楷體"/>
      <w:sz w:val="22"/>
      <w:szCs w:val="22"/>
      <w:lang w:eastAsia="en-US"/>
    </w:rPr>
  </w:style>
  <w:style w:type="table" w:styleId="a7">
    <w:name w:val="Table Grid"/>
    <w:basedOn w:val="a1"/>
    <w:uiPriority w:val="59"/>
    <w:rsid w:val="003429ED"/>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3429ED"/>
    <w:pPr>
      <w:adjustRightInd/>
      <w:spacing w:line="240" w:lineRule="auto"/>
      <w:ind w:leftChars="200" w:left="480"/>
      <w:jc w:val="left"/>
      <w:textAlignment w:val="auto"/>
    </w:pPr>
    <w:rPr>
      <w:rFonts w:ascii="Calibri" w:hAnsi="Calibri"/>
      <w:kern w:val="2"/>
      <w:sz w:val="24"/>
      <w:szCs w:val="22"/>
    </w:rPr>
  </w:style>
  <w:style w:type="paragraph" w:styleId="aa">
    <w:name w:val="Revision"/>
    <w:hidden/>
    <w:uiPriority w:val="99"/>
    <w:semiHidden/>
    <w:rsid w:val="00EB4667"/>
    <w:rPr>
      <w:rFonts w:ascii="Times New Roman" w:eastAsia="新細明體" w:hAnsi="Times New Roman" w:cs="Times New Roman"/>
      <w:kern w:val="0"/>
      <w:sz w:val="20"/>
      <w:szCs w:val="24"/>
    </w:rPr>
  </w:style>
  <w:style w:type="paragraph" w:styleId="ab">
    <w:name w:val="Balloon Text"/>
    <w:basedOn w:val="a"/>
    <w:link w:val="ac"/>
    <w:uiPriority w:val="99"/>
    <w:semiHidden/>
    <w:unhideWhenUsed/>
    <w:rsid w:val="00297190"/>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97190"/>
    <w:rPr>
      <w:rFonts w:asciiTheme="majorHAnsi" w:eastAsiaTheme="majorEastAsia" w:hAnsiTheme="majorHAnsi" w:cstheme="majorBidi"/>
      <w:kern w:val="0"/>
      <w:sz w:val="18"/>
      <w:szCs w:val="18"/>
    </w:rPr>
  </w:style>
  <w:style w:type="character" w:styleId="ad">
    <w:name w:val="Subtle Emphasis"/>
    <w:basedOn w:val="a0"/>
    <w:uiPriority w:val="19"/>
    <w:qFormat/>
    <w:rsid w:val="00751240"/>
    <w:rPr>
      <w:i/>
      <w:iCs/>
      <w:color w:val="404040" w:themeColor="text1" w:themeTint="BF"/>
    </w:rPr>
  </w:style>
  <w:style w:type="character" w:customStyle="1" w:styleId="a9">
    <w:name w:val="清單段落 字元"/>
    <w:link w:val="a8"/>
    <w:uiPriority w:val="34"/>
    <w:qFormat/>
    <w:rsid w:val="009F424D"/>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501905">
      <w:bodyDiv w:val="1"/>
      <w:marLeft w:val="0"/>
      <w:marRight w:val="0"/>
      <w:marTop w:val="0"/>
      <w:marBottom w:val="0"/>
      <w:divBdr>
        <w:top w:val="none" w:sz="0" w:space="0" w:color="auto"/>
        <w:left w:val="none" w:sz="0" w:space="0" w:color="auto"/>
        <w:bottom w:val="none" w:sz="0" w:space="0" w:color="auto"/>
        <w:right w:val="none" w:sz="0" w:space="0" w:color="auto"/>
      </w:divBdr>
    </w:div>
    <w:div w:id="362294771">
      <w:bodyDiv w:val="1"/>
      <w:marLeft w:val="0"/>
      <w:marRight w:val="0"/>
      <w:marTop w:val="0"/>
      <w:marBottom w:val="0"/>
      <w:divBdr>
        <w:top w:val="none" w:sz="0" w:space="0" w:color="auto"/>
        <w:left w:val="none" w:sz="0" w:space="0" w:color="auto"/>
        <w:bottom w:val="none" w:sz="0" w:space="0" w:color="auto"/>
        <w:right w:val="none" w:sz="0" w:space="0" w:color="auto"/>
      </w:divBdr>
    </w:div>
    <w:div w:id="1380128969">
      <w:bodyDiv w:val="1"/>
      <w:marLeft w:val="0"/>
      <w:marRight w:val="0"/>
      <w:marTop w:val="0"/>
      <w:marBottom w:val="0"/>
      <w:divBdr>
        <w:top w:val="none" w:sz="0" w:space="0" w:color="auto"/>
        <w:left w:val="none" w:sz="0" w:space="0" w:color="auto"/>
        <w:bottom w:val="none" w:sz="0" w:space="0" w:color="auto"/>
        <w:right w:val="none" w:sz="0" w:space="0" w:color="auto"/>
      </w:divBdr>
    </w:div>
    <w:div w:id="147136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E0A43-9406-42CF-8E8F-8D9AA825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葉家維</dc:creator>
  <cp:lastModifiedBy>鄭雅婷-建軍規劃組</cp:lastModifiedBy>
  <cp:revision>28</cp:revision>
  <cp:lastPrinted>2026-03-23T07:02:00Z</cp:lastPrinted>
  <dcterms:created xsi:type="dcterms:W3CDTF">2026-05-24T18:11:00Z</dcterms:created>
  <dcterms:modified xsi:type="dcterms:W3CDTF">2026-05-26T06:23:00Z</dcterms:modified>
</cp:coreProperties>
</file>